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71" w:rsidRPr="00C51FC1" w:rsidRDefault="00F3361E" w:rsidP="001E7A8A">
      <w:pPr>
        <w:jc w:val="center"/>
      </w:pPr>
      <w:proofErr w:type="spellStart"/>
      <w:r>
        <w:rPr>
          <w:b/>
          <w:sz w:val="28"/>
          <w:szCs w:val="28"/>
          <w:u w:val="single"/>
        </w:rPr>
        <w:t>Environmental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Documentation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Process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for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an</w:t>
      </w:r>
      <w:proofErr w:type="spellEnd"/>
      <w:r>
        <w:rPr>
          <w:b/>
          <w:sz w:val="28"/>
          <w:szCs w:val="28"/>
          <w:u w:val="single"/>
        </w:rPr>
        <w:t xml:space="preserve"> IEE/ETD Positive </w:t>
      </w:r>
      <w:proofErr w:type="spellStart"/>
      <w:r>
        <w:rPr>
          <w:b/>
          <w:sz w:val="28"/>
          <w:szCs w:val="28"/>
          <w:u w:val="single"/>
        </w:rPr>
        <w:t>Determination-Environmental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Assessment</w:t>
      </w:r>
      <w:proofErr w:type="spellEnd"/>
      <w:r>
        <w:rPr>
          <w:b/>
          <w:sz w:val="28"/>
          <w:szCs w:val="28"/>
          <w:u w:val="single"/>
        </w:rPr>
        <w:t xml:space="preserve"> (EA)</w:t>
      </w:r>
      <w:r w:rsidR="009C75F4">
        <w:rPr>
          <w:b/>
          <w:sz w:val="28"/>
          <w:szCs w:val="28"/>
          <w:u w:val="single"/>
        </w:rPr>
        <w:t>-Nov.19</w:t>
      </w:r>
      <w:proofErr w:type="gramStart"/>
      <w:r w:rsidR="009C75F4">
        <w:rPr>
          <w:b/>
          <w:sz w:val="28"/>
          <w:szCs w:val="28"/>
          <w:u w:val="single"/>
        </w:rPr>
        <w:t>,2015</w:t>
      </w:r>
      <w:bookmarkStart w:id="0" w:name="_GoBack"/>
      <w:bookmarkEnd w:id="0"/>
      <w:proofErr w:type="gramEnd"/>
      <w:r w:rsidR="006100A0" w:rsidRPr="006100A0">
        <w:rPr>
          <w:b/>
          <w:sz w:val="28"/>
          <w:szCs w:val="28"/>
          <w:u w:val="single"/>
        </w:rPr>
        <w:t xml:space="preserve"> </w:t>
      </w:r>
    </w:p>
    <w:tbl>
      <w:tblPr>
        <w:tblStyle w:val="TableGrid"/>
        <w:tblpPr w:leftFromText="141" w:rightFromText="141" w:vertAnchor="page" w:horzAnchor="margin" w:tblpY="2300"/>
        <w:tblW w:w="16025" w:type="dxa"/>
        <w:tblLayout w:type="fixed"/>
        <w:tblLook w:val="04A0" w:firstRow="1" w:lastRow="0" w:firstColumn="1" w:lastColumn="0" w:noHBand="0" w:noVBand="1"/>
      </w:tblPr>
      <w:tblGrid>
        <w:gridCol w:w="1458"/>
        <w:gridCol w:w="2700"/>
        <w:gridCol w:w="2471"/>
        <w:gridCol w:w="2209"/>
        <w:gridCol w:w="2340"/>
        <w:gridCol w:w="2340"/>
        <w:gridCol w:w="2507"/>
      </w:tblGrid>
      <w:tr w:rsidR="00E92459" w:rsidRPr="00361D51" w:rsidTr="00E92459">
        <w:trPr>
          <w:trHeight w:val="442"/>
        </w:trPr>
        <w:tc>
          <w:tcPr>
            <w:tcW w:w="1458" w:type="dxa"/>
            <w:shd w:val="clear" w:color="auto" w:fill="C5E0B3" w:themeFill="accent6" w:themeFillTint="66"/>
            <w:vAlign w:val="center"/>
          </w:tcPr>
          <w:p w:rsidR="00E92459" w:rsidRPr="001E7A8A" w:rsidRDefault="00E92459" w:rsidP="00E92459">
            <w:pPr>
              <w:pStyle w:val="ListParagraph"/>
              <w:numPr>
                <w:ilvl w:val="0"/>
                <w:numId w:val="17"/>
              </w:numPr>
              <w:ind w:left="540"/>
              <w:rPr>
                <w:b/>
                <w:sz w:val="20"/>
                <w:szCs w:val="20"/>
              </w:rPr>
            </w:pPr>
            <w:r w:rsidRPr="001E7A8A">
              <w:rPr>
                <w:b/>
                <w:sz w:val="20"/>
                <w:szCs w:val="20"/>
              </w:rPr>
              <w:t>USAID</w:t>
            </w:r>
          </w:p>
        </w:tc>
        <w:tc>
          <w:tcPr>
            <w:tcW w:w="2700" w:type="dxa"/>
            <w:shd w:val="clear" w:color="auto" w:fill="C5E0B3" w:themeFill="accent6" w:themeFillTint="66"/>
            <w:vAlign w:val="center"/>
          </w:tcPr>
          <w:p w:rsidR="00E92459" w:rsidRPr="001E7A8A" w:rsidRDefault="00E92459" w:rsidP="00E92459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1E7A8A">
              <w:rPr>
                <w:b/>
                <w:sz w:val="20"/>
                <w:szCs w:val="20"/>
              </w:rPr>
              <w:t>USAID</w:t>
            </w:r>
          </w:p>
        </w:tc>
        <w:tc>
          <w:tcPr>
            <w:tcW w:w="2471" w:type="dxa"/>
            <w:shd w:val="clear" w:color="auto" w:fill="C5E0B3" w:themeFill="accent6" w:themeFillTint="66"/>
            <w:vAlign w:val="center"/>
          </w:tcPr>
          <w:p w:rsidR="00E92459" w:rsidRPr="001E7A8A" w:rsidRDefault="00E92459" w:rsidP="00E92459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1E7A8A">
              <w:rPr>
                <w:b/>
                <w:sz w:val="20"/>
                <w:szCs w:val="20"/>
              </w:rPr>
              <w:t>USAID</w:t>
            </w:r>
          </w:p>
        </w:tc>
        <w:tc>
          <w:tcPr>
            <w:tcW w:w="2209" w:type="dxa"/>
            <w:shd w:val="clear" w:color="auto" w:fill="C5E0B3" w:themeFill="accent6" w:themeFillTint="66"/>
            <w:vAlign w:val="center"/>
          </w:tcPr>
          <w:p w:rsidR="00E92459" w:rsidRPr="001E7A8A" w:rsidRDefault="00E92459" w:rsidP="00E92459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1E7A8A">
              <w:rPr>
                <w:b/>
                <w:sz w:val="20"/>
                <w:szCs w:val="20"/>
              </w:rPr>
              <w:t>Socios</w:t>
            </w:r>
            <w:r w:rsidR="00832FD3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2340" w:type="dxa"/>
            <w:shd w:val="clear" w:color="auto" w:fill="C5E0B3" w:themeFill="accent6" w:themeFillTint="66"/>
            <w:vAlign w:val="center"/>
          </w:tcPr>
          <w:p w:rsidR="00E92459" w:rsidRPr="001E7A8A" w:rsidRDefault="00E92459" w:rsidP="00E92459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1E7A8A">
              <w:rPr>
                <w:b/>
                <w:sz w:val="20"/>
                <w:szCs w:val="20"/>
              </w:rPr>
              <w:t>USAID</w:t>
            </w:r>
          </w:p>
        </w:tc>
        <w:tc>
          <w:tcPr>
            <w:tcW w:w="2340" w:type="dxa"/>
            <w:shd w:val="clear" w:color="auto" w:fill="C5E0B3" w:themeFill="accent6" w:themeFillTint="66"/>
            <w:vAlign w:val="center"/>
          </w:tcPr>
          <w:p w:rsidR="00E92459" w:rsidRPr="001E7A8A" w:rsidRDefault="00E92459" w:rsidP="00E92459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1E7A8A">
              <w:rPr>
                <w:b/>
                <w:sz w:val="20"/>
                <w:szCs w:val="20"/>
              </w:rPr>
              <w:t>USAID-</w:t>
            </w:r>
          </w:p>
        </w:tc>
        <w:tc>
          <w:tcPr>
            <w:tcW w:w="2507" w:type="dxa"/>
            <w:shd w:val="clear" w:color="auto" w:fill="C5E0B3" w:themeFill="accent6" w:themeFillTint="66"/>
            <w:vAlign w:val="center"/>
          </w:tcPr>
          <w:p w:rsidR="00E92459" w:rsidRPr="001E7A8A" w:rsidRDefault="00E92459" w:rsidP="00E92459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1E7A8A">
              <w:rPr>
                <w:b/>
                <w:sz w:val="20"/>
                <w:szCs w:val="20"/>
              </w:rPr>
              <w:t xml:space="preserve">USAID y Socios </w:t>
            </w:r>
          </w:p>
        </w:tc>
      </w:tr>
      <w:tr w:rsidR="00E92459" w:rsidRPr="00361D51" w:rsidTr="00E92459">
        <w:trPr>
          <w:trHeight w:val="726"/>
        </w:trPr>
        <w:tc>
          <w:tcPr>
            <w:tcW w:w="1458" w:type="dxa"/>
          </w:tcPr>
          <w:p w:rsidR="00E92459" w:rsidRPr="006100A0" w:rsidRDefault="00F3361E" w:rsidP="00E924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Activity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Design</w:t>
            </w:r>
            <w:proofErr w:type="spellEnd"/>
            <w:r w:rsidR="00E92459" w:rsidRPr="006100A0">
              <w:rPr>
                <w:sz w:val="20"/>
                <w:szCs w:val="20"/>
              </w:rPr>
              <w:t>:</w:t>
            </w:r>
          </w:p>
          <w:p w:rsidR="00E92459" w:rsidRPr="001E7A8A" w:rsidRDefault="00E92459" w:rsidP="00E92459">
            <w:pPr>
              <w:rPr>
                <w:sz w:val="20"/>
                <w:szCs w:val="20"/>
              </w:rPr>
            </w:pPr>
          </w:p>
          <w:p w:rsidR="00E92459" w:rsidRPr="001E7A8A" w:rsidRDefault="00F3361E" w:rsidP="00E92459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Concept </w:t>
            </w:r>
            <w:proofErr w:type="spellStart"/>
            <w:r>
              <w:rPr>
                <w:sz w:val="20"/>
                <w:szCs w:val="20"/>
              </w:rPr>
              <w:t>Paper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prepared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includes</w:t>
            </w:r>
            <w:proofErr w:type="spellEnd"/>
            <w:r>
              <w:rPr>
                <w:sz w:val="20"/>
                <w:szCs w:val="20"/>
              </w:rPr>
              <w:t xml:space="preserve"> general </w:t>
            </w:r>
            <w:proofErr w:type="spellStart"/>
            <w:r>
              <w:rPr>
                <w:sz w:val="20"/>
                <w:szCs w:val="20"/>
              </w:rPr>
              <w:t>proposed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actions</w:t>
            </w:r>
            <w:proofErr w:type="spellEnd"/>
            <w:r w:rsidR="00E92459" w:rsidRPr="001E7A8A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E92459" w:rsidRPr="001E7A8A" w:rsidRDefault="00ED0612" w:rsidP="00E92459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Determination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if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EA </w:t>
            </w:r>
            <w:proofErr w:type="spellStart"/>
            <w:r>
              <w:rPr>
                <w:sz w:val="20"/>
                <w:szCs w:val="20"/>
                <w:u w:val="single"/>
              </w:rPr>
              <w:t>is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required</w:t>
            </w:r>
            <w:proofErr w:type="spellEnd"/>
            <w:r>
              <w:rPr>
                <w:sz w:val="20"/>
                <w:szCs w:val="20"/>
                <w:u w:val="single"/>
              </w:rPr>
              <w:t>-</w:t>
            </w:r>
            <w:r w:rsidR="00E92459" w:rsidRPr="001E7A8A">
              <w:rPr>
                <w:sz w:val="20"/>
                <w:szCs w:val="20"/>
                <w:u w:val="single"/>
              </w:rPr>
              <w:t>IEE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or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other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BEO </w:t>
            </w:r>
            <w:proofErr w:type="spellStart"/>
            <w:r>
              <w:rPr>
                <w:sz w:val="20"/>
                <w:szCs w:val="20"/>
                <w:u w:val="single"/>
              </w:rPr>
              <w:t>determination</w:t>
            </w:r>
            <w:proofErr w:type="spellEnd"/>
            <w:r w:rsidR="00E92459" w:rsidRPr="001E7A8A">
              <w:rPr>
                <w:b/>
                <w:sz w:val="20"/>
                <w:szCs w:val="20"/>
                <w:u w:val="single"/>
              </w:rPr>
              <w:t>:</w:t>
            </w:r>
          </w:p>
          <w:p w:rsidR="00E92459" w:rsidRPr="001E7A8A" w:rsidRDefault="00E92459" w:rsidP="00E92459">
            <w:pPr>
              <w:rPr>
                <w:b/>
                <w:sz w:val="20"/>
                <w:szCs w:val="20"/>
                <w:u w:val="single"/>
              </w:rPr>
            </w:pPr>
          </w:p>
          <w:p w:rsidR="00E92459" w:rsidRPr="001E7A8A" w:rsidRDefault="00F3361E" w:rsidP="00E92459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</w:t>
            </w:r>
            <w:proofErr w:type="spellEnd"/>
            <w:r>
              <w:rPr>
                <w:sz w:val="20"/>
                <w:szCs w:val="20"/>
              </w:rPr>
              <w:t xml:space="preserve"> IEE </w:t>
            </w: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prepared</w:t>
            </w:r>
            <w:proofErr w:type="spellEnd"/>
            <w:r>
              <w:rPr>
                <w:sz w:val="20"/>
                <w:szCs w:val="20"/>
              </w:rPr>
              <w:t xml:space="preserve"> base d </w:t>
            </w:r>
            <w:proofErr w:type="spellStart"/>
            <w:r>
              <w:rPr>
                <w:sz w:val="20"/>
                <w:szCs w:val="20"/>
              </w:rPr>
              <w:t>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concept </w:t>
            </w:r>
            <w:proofErr w:type="spellStart"/>
            <w:r>
              <w:rPr>
                <w:sz w:val="20"/>
                <w:szCs w:val="20"/>
              </w:rPr>
              <w:t>paper’s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proposed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actions</w:t>
            </w:r>
            <w:proofErr w:type="spellEnd"/>
            <w:r w:rsidR="00E92459" w:rsidRPr="001E7A8A">
              <w:rPr>
                <w:sz w:val="20"/>
                <w:szCs w:val="20"/>
              </w:rPr>
              <w:t>.</w:t>
            </w:r>
            <w:r w:rsidR="00ED0612">
              <w:rPr>
                <w:sz w:val="20"/>
                <w:szCs w:val="20"/>
              </w:rPr>
              <w:t xml:space="preserve"> </w:t>
            </w:r>
            <w:proofErr w:type="spellStart"/>
            <w:r w:rsidR="00ED0612">
              <w:rPr>
                <w:sz w:val="20"/>
                <w:szCs w:val="20"/>
              </w:rPr>
              <w:t>Mission</w:t>
            </w:r>
            <w:proofErr w:type="spellEnd"/>
            <w:r w:rsidR="00ED0612">
              <w:rPr>
                <w:sz w:val="20"/>
                <w:szCs w:val="20"/>
              </w:rPr>
              <w:t xml:space="preserve"> </w:t>
            </w:r>
            <w:proofErr w:type="spellStart"/>
            <w:r w:rsidR="00ED0612">
              <w:rPr>
                <w:sz w:val="20"/>
                <w:szCs w:val="20"/>
              </w:rPr>
              <w:t>recommends</w:t>
            </w:r>
            <w:proofErr w:type="spellEnd"/>
            <w:r w:rsidR="00ED0612">
              <w:rPr>
                <w:sz w:val="20"/>
                <w:szCs w:val="20"/>
              </w:rPr>
              <w:t xml:space="preserve"> </w:t>
            </w:r>
            <w:proofErr w:type="spellStart"/>
            <w:r w:rsidR="00ED0612">
              <w:rPr>
                <w:sz w:val="20"/>
                <w:szCs w:val="20"/>
              </w:rPr>
              <w:t>Environmental</w:t>
            </w:r>
            <w:proofErr w:type="spellEnd"/>
            <w:r w:rsidR="00ED0612">
              <w:rPr>
                <w:sz w:val="20"/>
                <w:szCs w:val="20"/>
              </w:rPr>
              <w:t xml:space="preserve"> </w:t>
            </w:r>
            <w:proofErr w:type="spellStart"/>
            <w:r w:rsidR="00ED0612">
              <w:rPr>
                <w:sz w:val="20"/>
                <w:szCs w:val="20"/>
              </w:rPr>
              <w:t>Threshold</w:t>
            </w:r>
            <w:proofErr w:type="spellEnd"/>
            <w:r w:rsidR="00ED0612">
              <w:rPr>
                <w:sz w:val="20"/>
                <w:szCs w:val="20"/>
              </w:rPr>
              <w:t xml:space="preserve"> </w:t>
            </w:r>
            <w:proofErr w:type="spellStart"/>
            <w:r w:rsidR="00ED0612">
              <w:rPr>
                <w:sz w:val="20"/>
                <w:szCs w:val="20"/>
              </w:rPr>
              <w:t>Decision</w:t>
            </w:r>
            <w:proofErr w:type="spellEnd"/>
            <w:r w:rsidR="00ED0612">
              <w:rPr>
                <w:sz w:val="20"/>
                <w:szCs w:val="20"/>
              </w:rPr>
              <w:t>. (ETD)</w:t>
            </w:r>
          </w:p>
          <w:p w:rsidR="00F3361E" w:rsidRPr="001E7A8A" w:rsidRDefault="00F3361E" w:rsidP="00E92459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BEO </w:t>
            </w:r>
            <w:proofErr w:type="spellStart"/>
            <w:r>
              <w:rPr>
                <w:sz w:val="20"/>
                <w:szCs w:val="20"/>
              </w:rPr>
              <w:t>approves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IEE and prepares </w:t>
            </w:r>
            <w:r w:rsidR="00ED0612">
              <w:rPr>
                <w:sz w:val="20"/>
                <w:szCs w:val="20"/>
              </w:rPr>
              <w:t>ETD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states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type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documentation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</w:t>
            </w:r>
            <w:r w:rsidR="000A6D88">
              <w:rPr>
                <w:sz w:val="20"/>
                <w:szCs w:val="20"/>
              </w:rPr>
              <w:t>quired</w:t>
            </w:r>
            <w:proofErr w:type="spellEnd"/>
            <w:r w:rsidR="000A6D88">
              <w:rPr>
                <w:sz w:val="20"/>
                <w:szCs w:val="20"/>
              </w:rPr>
              <w:t xml:space="preserve"> per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activity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based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on</w:t>
            </w:r>
            <w:proofErr w:type="spellEnd"/>
            <w:r>
              <w:rPr>
                <w:sz w:val="20"/>
                <w:szCs w:val="20"/>
              </w:rPr>
              <w:t xml:space="preserve"> REG 216.2. </w:t>
            </w:r>
          </w:p>
          <w:p w:rsidR="00E92459" w:rsidRDefault="00F3361E" w:rsidP="00ED0612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</w:t>
            </w:r>
            <w:proofErr w:type="spellEnd"/>
            <w:r>
              <w:rPr>
                <w:sz w:val="20"/>
                <w:szCs w:val="20"/>
              </w:rPr>
              <w:t xml:space="preserve"> EA </w:t>
            </w: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required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acti</w:t>
            </w:r>
            <w:r w:rsidR="000A6D88">
              <w:rPr>
                <w:sz w:val="20"/>
                <w:szCs w:val="20"/>
              </w:rPr>
              <w:t>vities</w:t>
            </w:r>
            <w:proofErr w:type="spellEnd"/>
            <w:r w:rsidR="000A6D88">
              <w:rPr>
                <w:sz w:val="20"/>
                <w:szCs w:val="20"/>
              </w:rPr>
              <w:t xml:space="preserve"> </w:t>
            </w:r>
            <w:proofErr w:type="spellStart"/>
            <w:r w:rsidR="000A6D88">
              <w:rPr>
                <w:sz w:val="20"/>
                <w:szCs w:val="20"/>
              </w:rPr>
              <w:t>listed</w:t>
            </w:r>
            <w:proofErr w:type="spellEnd"/>
            <w:r w:rsidR="000A6D88">
              <w:rPr>
                <w:sz w:val="20"/>
                <w:szCs w:val="20"/>
              </w:rPr>
              <w:t xml:space="preserve"> in </w:t>
            </w:r>
            <w:proofErr w:type="spellStart"/>
            <w:r w:rsidR="000A6D88">
              <w:rPr>
                <w:sz w:val="20"/>
                <w:szCs w:val="20"/>
              </w:rPr>
              <w:t>the</w:t>
            </w:r>
            <w:proofErr w:type="spellEnd"/>
            <w:r w:rsidR="000A6D88">
              <w:rPr>
                <w:sz w:val="20"/>
                <w:szCs w:val="20"/>
              </w:rPr>
              <w:t xml:space="preserve"> ETD </w:t>
            </w:r>
            <w:proofErr w:type="spellStart"/>
            <w:r w:rsidR="000A6D88">
              <w:rPr>
                <w:sz w:val="20"/>
                <w:szCs w:val="20"/>
              </w:rPr>
              <w:t>with</w:t>
            </w:r>
            <w:proofErr w:type="spellEnd"/>
            <w:r w:rsidR="000A6D88">
              <w:rPr>
                <w:sz w:val="20"/>
                <w:szCs w:val="20"/>
              </w:rPr>
              <w:t xml:space="preserve"> a </w:t>
            </w:r>
            <w:r>
              <w:rPr>
                <w:sz w:val="20"/>
                <w:szCs w:val="20"/>
              </w:rPr>
              <w:t xml:space="preserve">Positive </w:t>
            </w:r>
            <w:proofErr w:type="spellStart"/>
            <w:r w:rsidR="000A6D88">
              <w:rPr>
                <w:sz w:val="20"/>
                <w:szCs w:val="20"/>
              </w:rPr>
              <w:t>Determination</w:t>
            </w:r>
            <w:proofErr w:type="spellEnd"/>
            <w:r w:rsidR="000A6D88">
              <w:rPr>
                <w:sz w:val="20"/>
                <w:szCs w:val="20"/>
              </w:rPr>
              <w:t xml:space="preserve">.  </w:t>
            </w:r>
            <w:proofErr w:type="spellStart"/>
            <w:r w:rsidR="00ED0612">
              <w:rPr>
                <w:sz w:val="20"/>
                <w:szCs w:val="20"/>
              </w:rPr>
              <w:t>Activities</w:t>
            </w:r>
            <w:proofErr w:type="spellEnd"/>
            <w:r w:rsidR="00ED0612">
              <w:rPr>
                <w:sz w:val="20"/>
                <w:szCs w:val="20"/>
              </w:rPr>
              <w:t xml:space="preserve"> </w:t>
            </w:r>
            <w:proofErr w:type="spellStart"/>
            <w:r w:rsidR="00ED0612">
              <w:rPr>
                <w:sz w:val="20"/>
                <w:szCs w:val="20"/>
              </w:rPr>
              <w:t>that</w:t>
            </w:r>
            <w:proofErr w:type="spellEnd"/>
            <w:r w:rsidR="00ED0612">
              <w:rPr>
                <w:sz w:val="20"/>
                <w:szCs w:val="20"/>
              </w:rPr>
              <w:t xml:space="preserve"> </w:t>
            </w:r>
            <w:proofErr w:type="spellStart"/>
            <w:r w:rsidR="00ED0612">
              <w:rPr>
                <w:sz w:val="20"/>
                <w:szCs w:val="20"/>
              </w:rPr>
              <w:t>may</w:t>
            </w:r>
            <w:proofErr w:type="spellEnd"/>
            <w:r w:rsidR="00ED0612">
              <w:rPr>
                <w:sz w:val="20"/>
                <w:szCs w:val="20"/>
              </w:rPr>
              <w:t xml:space="preserve"> </w:t>
            </w:r>
            <w:proofErr w:type="spellStart"/>
            <w:r w:rsidR="00ED0612">
              <w:rPr>
                <w:sz w:val="20"/>
                <w:szCs w:val="20"/>
              </w:rPr>
              <w:t>have</w:t>
            </w:r>
            <w:proofErr w:type="spellEnd"/>
            <w:r w:rsidR="00ED0612">
              <w:rPr>
                <w:sz w:val="20"/>
                <w:szCs w:val="20"/>
              </w:rPr>
              <w:t xml:space="preserve"> a “</w:t>
            </w:r>
            <w:proofErr w:type="spellStart"/>
            <w:r w:rsidR="00ED0612">
              <w:rPr>
                <w:sz w:val="20"/>
                <w:szCs w:val="20"/>
              </w:rPr>
              <w:t>significant</w:t>
            </w:r>
            <w:proofErr w:type="spellEnd"/>
            <w:r w:rsidR="00ED0612">
              <w:rPr>
                <w:sz w:val="20"/>
                <w:szCs w:val="20"/>
              </w:rPr>
              <w:t xml:space="preserve"> </w:t>
            </w:r>
            <w:proofErr w:type="spellStart"/>
            <w:r w:rsidR="00ED0612">
              <w:rPr>
                <w:sz w:val="20"/>
                <w:szCs w:val="20"/>
              </w:rPr>
              <w:t>effect</w:t>
            </w:r>
            <w:proofErr w:type="spellEnd"/>
            <w:r w:rsidR="00ED0612">
              <w:rPr>
                <w:sz w:val="20"/>
                <w:szCs w:val="20"/>
              </w:rPr>
              <w:t xml:space="preserve"> </w:t>
            </w:r>
            <w:proofErr w:type="spellStart"/>
            <w:r w:rsidR="00ED0612">
              <w:rPr>
                <w:sz w:val="20"/>
                <w:szCs w:val="20"/>
              </w:rPr>
              <w:t>on</w:t>
            </w:r>
            <w:proofErr w:type="spellEnd"/>
            <w:r w:rsidR="00ED0612">
              <w:rPr>
                <w:sz w:val="20"/>
                <w:szCs w:val="20"/>
              </w:rPr>
              <w:t xml:space="preserve"> </w:t>
            </w:r>
            <w:proofErr w:type="spellStart"/>
            <w:r w:rsidR="00ED0612">
              <w:rPr>
                <w:sz w:val="20"/>
                <w:szCs w:val="20"/>
              </w:rPr>
              <w:t>the</w:t>
            </w:r>
            <w:proofErr w:type="spellEnd"/>
            <w:r w:rsidR="00ED0612">
              <w:rPr>
                <w:sz w:val="20"/>
                <w:szCs w:val="20"/>
              </w:rPr>
              <w:t xml:space="preserve"> </w:t>
            </w:r>
            <w:proofErr w:type="spellStart"/>
            <w:r w:rsidR="00ED0612">
              <w:rPr>
                <w:sz w:val="20"/>
                <w:szCs w:val="20"/>
              </w:rPr>
              <w:t>environment</w:t>
            </w:r>
            <w:proofErr w:type="spellEnd"/>
            <w:r w:rsidR="00ED0612">
              <w:rPr>
                <w:sz w:val="20"/>
                <w:szCs w:val="20"/>
              </w:rPr>
              <w:t xml:space="preserve">” </w:t>
            </w:r>
            <w:proofErr w:type="spellStart"/>
            <w:r w:rsidR="00ED0612">
              <w:rPr>
                <w:sz w:val="20"/>
                <w:szCs w:val="20"/>
              </w:rPr>
              <w:t>require</w:t>
            </w:r>
            <w:proofErr w:type="spellEnd"/>
            <w:r w:rsidR="00ED0612">
              <w:rPr>
                <w:sz w:val="20"/>
                <w:szCs w:val="20"/>
              </w:rPr>
              <w:t xml:space="preserve"> </w:t>
            </w:r>
            <w:proofErr w:type="spellStart"/>
            <w:r w:rsidR="00ED0612">
              <w:rPr>
                <w:sz w:val="20"/>
                <w:szCs w:val="20"/>
              </w:rPr>
              <w:t>an</w:t>
            </w:r>
            <w:proofErr w:type="spellEnd"/>
            <w:r w:rsidR="00ED0612">
              <w:rPr>
                <w:sz w:val="20"/>
                <w:szCs w:val="20"/>
              </w:rPr>
              <w:t xml:space="preserve"> EA as per </w:t>
            </w:r>
            <w:proofErr w:type="spellStart"/>
            <w:r w:rsidR="00ED0612">
              <w:rPr>
                <w:sz w:val="20"/>
                <w:szCs w:val="20"/>
              </w:rPr>
              <w:t>Reg</w:t>
            </w:r>
            <w:proofErr w:type="spellEnd"/>
            <w:r w:rsidR="000A6D88">
              <w:rPr>
                <w:sz w:val="20"/>
                <w:szCs w:val="20"/>
              </w:rPr>
              <w:t xml:space="preserve"> 216.2 (d).</w:t>
            </w:r>
          </w:p>
          <w:p w:rsidR="00ED0612" w:rsidRPr="001E7A8A" w:rsidRDefault="00ED0612" w:rsidP="00ED0612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BEO </w:t>
            </w:r>
            <w:proofErr w:type="spellStart"/>
            <w:r>
              <w:rPr>
                <w:sz w:val="20"/>
                <w:szCs w:val="20"/>
              </w:rPr>
              <w:t>may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also</w:t>
            </w:r>
            <w:proofErr w:type="spellEnd"/>
            <w:r>
              <w:rPr>
                <w:sz w:val="20"/>
                <w:szCs w:val="20"/>
              </w:rPr>
              <w:t xml:space="preserve"> determine </w:t>
            </w:r>
            <w:proofErr w:type="spellStart"/>
            <w:r>
              <w:rPr>
                <w:sz w:val="20"/>
                <w:szCs w:val="20"/>
              </w:rPr>
              <w:t>that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</w:t>
            </w:r>
            <w:proofErr w:type="spellEnd"/>
            <w:r>
              <w:rPr>
                <w:sz w:val="20"/>
                <w:szCs w:val="20"/>
              </w:rPr>
              <w:t xml:space="preserve"> EA </w:t>
            </w: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required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during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Activity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implementation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based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Activity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evaluation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monitoring</w:t>
            </w:r>
            <w:proofErr w:type="spellEnd"/>
            <w:r>
              <w:rPr>
                <w:sz w:val="20"/>
                <w:szCs w:val="20"/>
              </w:rPr>
              <w:t>, and/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audit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71" w:type="dxa"/>
          </w:tcPr>
          <w:p w:rsidR="00E92459" w:rsidRDefault="00FD1BF1" w:rsidP="00E92459">
            <w:pPr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Request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for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Proposals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(RFP)-A. </w:t>
            </w:r>
            <w:proofErr w:type="spellStart"/>
            <w:r>
              <w:rPr>
                <w:sz w:val="20"/>
                <w:szCs w:val="20"/>
                <w:u w:val="single"/>
              </w:rPr>
              <w:t>for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Activity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, B. </w:t>
            </w:r>
            <w:proofErr w:type="spellStart"/>
            <w:r>
              <w:rPr>
                <w:sz w:val="20"/>
                <w:szCs w:val="20"/>
                <w:u w:val="single"/>
              </w:rPr>
              <w:t>for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EA</w:t>
            </w:r>
            <w:r w:rsidR="00E92459" w:rsidRPr="001E7A8A">
              <w:rPr>
                <w:sz w:val="20"/>
                <w:szCs w:val="20"/>
                <w:u w:val="single"/>
              </w:rPr>
              <w:t>:</w:t>
            </w:r>
          </w:p>
          <w:p w:rsidR="00FD1BF1" w:rsidRPr="001E7A8A" w:rsidRDefault="00FD1BF1" w:rsidP="00E92459">
            <w:pPr>
              <w:rPr>
                <w:sz w:val="20"/>
                <w:szCs w:val="20"/>
                <w:u w:val="single"/>
              </w:rPr>
            </w:pPr>
          </w:p>
          <w:p w:rsidR="00E92459" w:rsidRDefault="00FD1BF1" w:rsidP="00E92459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162" w:hanging="16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IEE/ETD </w:t>
            </w:r>
            <w:proofErr w:type="spellStart"/>
            <w:r>
              <w:rPr>
                <w:sz w:val="20"/>
                <w:szCs w:val="20"/>
              </w:rPr>
              <w:t>must</w:t>
            </w:r>
            <w:proofErr w:type="spellEnd"/>
            <w:r>
              <w:rPr>
                <w:sz w:val="20"/>
                <w:szCs w:val="20"/>
              </w:rPr>
              <w:t xml:space="preserve"> be </w:t>
            </w:r>
            <w:proofErr w:type="spellStart"/>
            <w:r>
              <w:rPr>
                <w:sz w:val="20"/>
                <w:szCs w:val="20"/>
              </w:rPr>
              <w:t>attached</w:t>
            </w:r>
            <w:proofErr w:type="spellEnd"/>
            <w:r>
              <w:rPr>
                <w:sz w:val="20"/>
                <w:szCs w:val="20"/>
              </w:rPr>
              <w:t xml:space="preserve"> to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RFP </w:t>
            </w:r>
            <w:proofErr w:type="spellStart"/>
            <w:r w:rsidR="008A3B93">
              <w:rPr>
                <w:sz w:val="20"/>
                <w:szCs w:val="20"/>
              </w:rPr>
              <w:t>showing</w:t>
            </w:r>
            <w:proofErr w:type="spellEnd"/>
            <w:r w:rsidR="008A3B93">
              <w:rPr>
                <w:sz w:val="20"/>
                <w:szCs w:val="20"/>
              </w:rPr>
              <w:t xml:space="preserve"> </w:t>
            </w:r>
            <w:proofErr w:type="spellStart"/>
            <w:r w:rsidR="008A3B93">
              <w:rPr>
                <w:sz w:val="20"/>
                <w:szCs w:val="20"/>
              </w:rPr>
              <w:t>the</w:t>
            </w:r>
            <w:proofErr w:type="spellEnd"/>
            <w:r w:rsidR="008A3B93">
              <w:rPr>
                <w:sz w:val="20"/>
                <w:szCs w:val="20"/>
              </w:rPr>
              <w:t xml:space="preserve"> </w:t>
            </w:r>
            <w:proofErr w:type="spellStart"/>
            <w:r w:rsidR="008A3B93">
              <w:rPr>
                <w:sz w:val="20"/>
                <w:szCs w:val="20"/>
              </w:rPr>
              <w:t>need</w:t>
            </w:r>
            <w:proofErr w:type="spellEnd"/>
            <w:r w:rsidR="008A3B93">
              <w:rPr>
                <w:sz w:val="20"/>
                <w:szCs w:val="20"/>
              </w:rPr>
              <w:t xml:space="preserve"> </w:t>
            </w:r>
            <w:proofErr w:type="spellStart"/>
            <w:r w:rsidR="008A3B93">
              <w:rPr>
                <w:sz w:val="20"/>
                <w:szCs w:val="20"/>
              </w:rPr>
              <w:t>for</w:t>
            </w:r>
            <w:proofErr w:type="spellEnd"/>
            <w:r w:rsidR="008A3B93">
              <w:rPr>
                <w:sz w:val="20"/>
                <w:szCs w:val="20"/>
              </w:rPr>
              <w:t xml:space="preserve"> </w:t>
            </w:r>
            <w:proofErr w:type="spellStart"/>
            <w:r w:rsidR="008A3B93">
              <w:rPr>
                <w:sz w:val="20"/>
                <w:szCs w:val="20"/>
              </w:rPr>
              <w:t>an</w:t>
            </w:r>
            <w:proofErr w:type="spellEnd"/>
            <w:r w:rsidR="008A3B93">
              <w:rPr>
                <w:sz w:val="20"/>
                <w:szCs w:val="20"/>
              </w:rPr>
              <w:t xml:space="preserve"> EA </w:t>
            </w:r>
            <w:r>
              <w:rPr>
                <w:sz w:val="20"/>
                <w:szCs w:val="20"/>
              </w:rPr>
              <w:t>(A&amp;B).</w:t>
            </w:r>
          </w:p>
          <w:p w:rsidR="008F439E" w:rsidRDefault="008F439E" w:rsidP="00E92459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162" w:hanging="16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RFP </w:t>
            </w:r>
            <w:proofErr w:type="spellStart"/>
            <w:r>
              <w:rPr>
                <w:sz w:val="20"/>
                <w:szCs w:val="20"/>
              </w:rPr>
              <w:t>includes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environmental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documentation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responsibilities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issued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IEE/ETD.  ADS 204 </w:t>
            </w:r>
            <w:proofErr w:type="spellStart"/>
            <w:r>
              <w:rPr>
                <w:sz w:val="20"/>
                <w:szCs w:val="20"/>
              </w:rPr>
              <w:t>Annex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Contract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Language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Environmental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Compliance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should</w:t>
            </w:r>
            <w:proofErr w:type="spellEnd"/>
            <w:r>
              <w:rPr>
                <w:sz w:val="20"/>
                <w:szCs w:val="20"/>
              </w:rPr>
              <w:t xml:space="preserve"> be </w:t>
            </w:r>
            <w:proofErr w:type="spellStart"/>
            <w:r>
              <w:rPr>
                <w:sz w:val="20"/>
                <w:szCs w:val="20"/>
              </w:rPr>
              <w:t>included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RFP.(A&amp;B)</w:t>
            </w:r>
          </w:p>
          <w:p w:rsidR="008A3B93" w:rsidRDefault="008A3B93" w:rsidP="00E92459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162" w:hanging="16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Mission</w:t>
            </w:r>
            <w:proofErr w:type="spellEnd"/>
            <w:r>
              <w:rPr>
                <w:sz w:val="20"/>
                <w:szCs w:val="20"/>
              </w:rPr>
              <w:t xml:space="preserve"> prepares </w:t>
            </w:r>
            <w:proofErr w:type="spellStart"/>
            <w:r>
              <w:rPr>
                <w:sz w:val="20"/>
                <w:szCs w:val="20"/>
              </w:rPr>
              <w:t>Scope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Work</w:t>
            </w:r>
            <w:proofErr w:type="spellEnd"/>
            <w:r>
              <w:rPr>
                <w:sz w:val="20"/>
                <w:szCs w:val="20"/>
              </w:rPr>
              <w:t xml:space="preserve"> (SOW)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EA to </w:t>
            </w:r>
            <w:proofErr w:type="spellStart"/>
            <w:r>
              <w:rPr>
                <w:sz w:val="20"/>
                <w:szCs w:val="20"/>
              </w:rPr>
              <w:t>include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RFPs</w:t>
            </w:r>
            <w:proofErr w:type="spellEnd"/>
            <w:r>
              <w:rPr>
                <w:sz w:val="20"/>
                <w:szCs w:val="20"/>
              </w:rPr>
              <w:t>.(A&amp;B)</w:t>
            </w:r>
          </w:p>
          <w:p w:rsidR="008A3B93" w:rsidRPr="00E92459" w:rsidRDefault="008A3B93" w:rsidP="00E92459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Reference USAID </w:t>
            </w:r>
            <w:proofErr w:type="spellStart"/>
            <w:r>
              <w:rPr>
                <w:sz w:val="20"/>
                <w:szCs w:val="20"/>
              </w:rPr>
              <w:t>Environmental</w:t>
            </w:r>
            <w:proofErr w:type="spellEnd"/>
            <w:r>
              <w:rPr>
                <w:sz w:val="20"/>
                <w:szCs w:val="20"/>
              </w:rPr>
              <w:t xml:space="preserve"> Sector </w:t>
            </w:r>
            <w:proofErr w:type="spellStart"/>
            <w:r>
              <w:rPr>
                <w:sz w:val="20"/>
                <w:szCs w:val="20"/>
              </w:rPr>
              <w:t>Guidelines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8F439E">
              <w:rPr>
                <w:sz w:val="20"/>
                <w:szCs w:val="20"/>
              </w:rPr>
              <w:t xml:space="preserve">and </w:t>
            </w:r>
            <w:proofErr w:type="spellStart"/>
            <w:r w:rsidR="008F439E">
              <w:rPr>
                <w:sz w:val="20"/>
                <w:szCs w:val="20"/>
              </w:rPr>
              <w:t>other</w:t>
            </w:r>
            <w:proofErr w:type="spellEnd"/>
            <w:r w:rsidR="008F439E">
              <w:rPr>
                <w:sz w:val="20"/>
                <w:szCs w:val="20"/>
              </w:rPr>
              <w:t xml:space="preserve"> </w:t>
            </w:r>
            <w:proofErr w:type="spellStart"/>
            <w:r w:rsidR="008F439E">
              <w:rPr>
                <w:sz w:val="20"/>
                <w:szCs w:val="20"/>
              </w:rPr>
              <w:t>environmental</w:t>
            </w:r>
            <w:proofErr w:type="spellEnd"/>
            <w:r w:rsidR="008F439E">
              <w:rPr>
                <w:sz w:val="20"/>
                <w:szCs w:val="20"/>
              </w:rPr>
              <w:t xml:space="preserve"> </w:t>
            </w:r>
            <w:proofErr w:type="spellStart"/>
            <w:r w:rsidR="008F439E">
              <w:rPr>
                <w:sz w:val="20"/>
                <w:szCs w:val="20"/>
              </w:rPr>
              <w:t>guides</w:t>
            </w:r>
            <w:proofErr w:type="spellEnd"/>
            <w:r w:rsidR="008F4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TOR to be </w:t>
            </w:r>
            <w:proofErr w:type="spellStart"/>
            <w:r>
              <w:rPr>
                <w:sz w:val="20"/>
                <w:szCs w:val="20"/>
              </w:rPr>
              <w:t>used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EA-http://www.usaidgems.org/sectorGuidelines.htm</w:t>
            </w:r>
            <w:r w:rsidR="008F439E">
              <w:rPr>
                <w:sz w:val="20"/>
                <w:szCs w:val="20"/>
              </w:rPr>
              <w:t xml:space="preserve"> </w:t>
            </w:r>
          </w:p>
          <w:p w:rsidR="00E92459" w:rsidRPr="00C02DDC" w:rsidRDefault="00E92459" w:rsidP="008F439E">
            <w:pPr>
              <w:pStyle w:val="ListParagraph"/>
              <w:spacing w:after="160" w:line="259" w:lineRule="auto"/>
              <w:ind w:left="162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:rsidR="00E92459" w:rsidRPr="001E7A8A" w:rsidRDefault="00A93A39" w:rsidP="00E924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Proposal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Preparation</w:t>
            </w:r>
            <w:proofErr w:type="spellEnd"/>
            <w:r w:rsidR="00E92459" w:rsidRPr="001E7A8A">
              <w:rPr>
                <w:sz w:val="20"/>
                <w:szCs w:val="20"/>
              </w:rPr>
              <w:t xml:space="preserve">: </w:t>
            </w:r>
          </w:p>
          <w:p w:rsidR="00E92459" w:rsidRPr="001E7A8A" w:rsidRDefault="00E92459" w:rsidP="00E92459">
            <w:pPr>
              <w:rPr>
                <w:sz w:val="20"/>
                <w:szCs w:val="20"/>
              </w:rPr>
            </w:pPr>
          </w:p>
          <w:p w:rsidR="00E92459" w:rsidRPr="001E7A8A" w:rsidRDefault="00A93A39" w:rsidP="00E92459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Potential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Partners</w:t>
            </w:r>
            <w:proofErr w:type="spellEnd"/>
            <w:r>
              <w:rPr>
                <w:sz w:val="20"/>
                <w:szCs w:val="20"/>
              </w:rPr>
              <w:t xml:space="preserve"> prepare </w:t>
            </w:r>
            <w:proofErr w:type="spellStart"/>
            <w:r>
              <w:rPr>
                <w:sz w:val="20"/>
                <w:szCs w:val="20"/>
              </w:rPr>
              <w:t>their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Activity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Proposals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including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budgets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based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IEE/ETD, RFP, and SOW </w:t>
            </w:r>
            <w:proofErr w:type="spellStart"/>
            <w:r>
              <w:rPr>
                <w:sz w:val="20"/>
                <w:szCs w:val="20"/>
              </w:rPr>
              <w:t>information</w:t>
            </w:r>
            <w:proofErr w:type="spellEnd"/>
            <w:r>
              <w:rPr>
                <w:sz w:val="20"/>
                <w:szCs w:val="20"/>
              </w:rPr>
              <w:t xml:space="preserve"> (A)</w:t>
            </w:r>
          </w:p>
          <w:p w:rsidR="006D03D5" w:rsidRDefault="00A93A39" w:rsidP="006D03D5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Proposal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includes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strategy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actions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accomplishing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EA </w:t>
            </w:r>
            <w:proofErr w:type="spellStart"/>
            <w:r>
              <w:rPr>
                <w:sz w:val="20"/>
                <w:szCs w:val="20"/>
              </w:rPr>
              <w:t>requirement</w:t>
            </w:r>
            <w:proofErr w:type="spellEnd"/>
            <w:r>
              <w:rPr>
                <w:sz w:val="20"/>
                <w:szCs w:val="20"/>
              </w:rPr>
              <w:t xml:space="preserve">, and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Budget </w:t>
            </w:r>
            <w:proofErr w:type="spellStart"/>
            <w:r>
              <w:rPr>
                <w:sz w:val="20"/>
                <w:szCs w:val="20"/>
              </w:rPr>
              <w:t>allocated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either</w:t>
            </w:r>
            <w:proofErr w:type="spellEnd"/>
            <w:r>
              <w:rPr>
                <w:sz w:val="20"/>
                <w:szCs w:val="20"/>
              </w:rPr>
              <w:t xml:space="preserve"> sub-</w:t>
            </w:r>
            <w:proofErr w:type="spellStart"/>
            <w:r>
              <w:rPr>
                <w:sz w:val="20"/>
                <w:szCs w:val="20"/>
              </w:rPr>
              <w:t>contracting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EA </w:t>
            </w:r>
            <w:proofErr w:type="spellStart"/>
            <w:r>
              <w:rPr>
                <w:sz w:val="20"/>
                <w:szCs w:val="20"/>
              </w:rPr>
              <w:t>themselves</w:t>
            </w:r>
            <w:proofErr w:type="spellEnd"/>
            <w:r>
              <w:rPr>
                <w:sz w:val="20"/>
                <w:szCs w:val="20"/>
              </w:rPr>
              <w:t xml:space="preserve">. (A) </w:t>
            </w:r>
          </w:p>
          <w:p w:rsidR="00A93A39" w:rsidRPr="006D03D5" w:rsidRDefault="00A93A39" w:rsidP="006D03D5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sz w:val="20"/>
                <w:szCs w:val="20"/>
              </w:rPr>
            </w:pPr>
            <w:proofErr w:type="spellStart"/>
            <w:r w:rsidRPr="006D03D5">
              <w:rPr>
                <w:sz w:val="20"/>
                <w:szCs w:val="20"/>
              </w:rPr>
              <w:t>Proposal</w:t>
            </w:r>
            <w:proofErr w:type="spellEnd"/>
            <w:r w:rsidRPr="006D03D5">
              <w:rPr>
                <w:sz w:val="20"/>
                <w:szCs w:val="20"/>
              </w:rPr>
              <w:t xml:space="preserve"> and Budget </w:t>
            </w:r>
            <w:proofErr w:type="spellStart"/>
            <w:r w:rsidRPr="006D03D5">
              <w:rPr>
                <w:sz w:val="20"/>
                <w:szCs w:val="20"/>
              </w:rPr>
              <w:t>prepared</w:t>
            </w:r>
            <w:proofErr w:type="spellEnd"/>
            <w:r w:rsidRPr="006D03D5">
              <w:rPr>
                <w:sz w:val="20"/>
                <w:szCs w:val="20"/>
              </w:rPr>
              <w:t xml:space="preserve"> </w:t>
            </w:r>
            <w:proofErr w:type="spellStart"/>
            <w:r w:rsidRPr="006D03D5">
              <w:rPr>
                <w:sz w:val="20"/>
                <w:szCs w:val="20"/>
              </w:rPr>
              <w:t>by</w:t>
            </w:r>
            <w:proofErr w:type="spellEnd"/>
            <w:r w:rsidRPr="006D03D5">
              <w:rPr>
                <w:sz w:val="20"/>
                <w:szCs w:val="20"/>
              </w:rPr>
              <w:t xml:space="preserve"> </w:t>
            </w:r>
            <w:proofErr w:type="spellStart"/>
            <w:r w:rsidRPr="006D03D5">
              <w:rPr>
                <w:sz w:val="20"/>
                <w:szCs w:val="20"/>
              </w:rPr>
              <w:t>contractors</w:t>
            </w:r>
            <w:proofErr w:type="spellEnd"/>
            <w:r w:rsidRPr="006D03D5">
              <w:rPr>
                <w:sz w:val="20"/>
                <w:szCs w:val="20"/>
              </w:rPr>
              <w:t xml:space="preserve"> </w:t>
            </w:r>
            <w:proofErr w:type="spellStart"/>
            <w:r w:rsidR="006D03D5" w:rsidRPr="006D03D5">
              <w:rPr>
                <w:sz w:val="20"/>
                <w:szCs w:val="20"/>
              </w:rPr>
              <w:t>for</w:t>
            </w:r>
            <w:proofErr w:type="spellEnd"/>
            <w:r w:rsidR="006D03D5" w:rsidRPr="006D03D5">
              <w:rPr>
                <w:sz w:val="20"/>
                <w:szCs w:val="20"/>
              </w:rPr>
              <w:t xml:space="preserve"> </w:t>
            </w:r>
            <w:proofErr w:type="spellStart"/>
            <w:r w:rsidR="006D03D5" w:rsidRPr="006D03D5">
              <w:rPr>
                <w:sz w:val="20"/>
                <w:szCs w:val="20"/>
              </w:rPr>
              <w:t>the</w:t>
            </w:r>
            <w:proofErr w:type="spellEnd"/>
            <w:r w:rsidR="006D03D5" w:rsidRPr="006D03D5">
              <w:rPr>
                <w:sz w:val="20"/>
                <w:szCs w:val="20"/>
              </w:rPr>
              <w:t xml:space="preserve"> </w:t>
            </w:r>
            <w:proofErr w:type="spellStart"/>
            <w:r w:rsidR="006D03D5" w:rsidRPr="006D03D5">
              <w:rPr>
                <w:sz w:val="20"/>
                <w:szCs w:val="20"/>
              </w:rPr>
              <w:t>preparation</w:t>
            </w:r>
            <w:proofErr w:type="spellEnd"/>
            <w:r w:rsidR="006D03D5" w:rsidRPr="006D03D5">
              <w:rPr>
                <w:sz w:val="20"/>
                <w:szCs w:val="20"/>
              </w:rPr>
              <w:t xml:space="preserve"> of </w:t>
            </w:r>
            <w:proofErr w:type="spellStart"/>
            <w:r w:rsidR="006D03D5" w:rsidRPr="006D03D5">
              <w:rPr>
                <w:sz w:val="20"/>
                <w:szCs w:val="20"/>
              </w:rPr>
              <w:t>the</w:t>
            </w:r>
            <w:proofErr w:type="spellEnd"/>
            <w:r w:rsidR="006D03D5" w:rsidRPr="006D03D5">
              <w:rPr>
                <w:sz w:val="20"/>
                <w:szCs w:val="20"/>
              </w:rPr>
              <w:t xml:space="preserve"> EA </w:t>
            </w:r>
            <w:proofErr w:type="spellStart"/>
            <w:r w:rsidR="006D03D5" w:rsidRPr="006D03D5">
              <w:rPr>
                <w:sz w:val="20"/>
                <w:szCs w:val="20"/>
              </w:rPr>
              <w:t>including</w:t>
            </w:r>
            <w:proofErr w:type="spellEnd"/>
            <w:r w:rsidR="006D03D5" w:rsidRPr="006D03D5">
              <w:rPr>
                <w:sz w:val="20"/>
                <w:szCs w:val="20"/>
              </w:rPr>
              <w:t xml:space="preserve"> </w:t>
            </w:r>
            <w:proofErr w:type="spellStart"/>
            <w:r w:rsidR="006D03D5" w:rsidRPr="006D03D5">
              <w:rPr>
                <w:sz w:val="20"/>
                <w:szCs w:val="20"/>
              </w:rPr>
              <w:t>strategy</w:t>
            </w:r>
            <w:proofErr w:type="spellEnd"/>
            <w:r w:rsidR="006D03D5" w:rsidRPr="006D03D5">
              <w:rPr>
                <w:sz w:val="20"/>
                <w:szCs w:val="20"/>
              </w:rPr>
              <w:t xml:space="preserve">, </w:t>
            </w:r>
            <w:proofErr w:type="spellStart"/>
            <w:r w:rsidR="006D03D5" w:rsidRPr="006D03D5">
              <w:rPr>
                <w:sz w:val="20"/>
                <w:szCs w:val="20"/>
              </w:rPr>
              <w:t>activities</w:t>
            </w:r>
            <w:proofErr w:type="spellEnd"/>
            <w:r w:rsidR="006D03D5" w:rsidRPr="006D03D5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6D03D5" w:rsidRPr="006D03D5">
              <w:rPr>
                <w:sz w:val="20"/>
                <w:szCs w:val="20"/>
              </w:rPr>
              <w:t>staffing</w:t>
            </w:r>
            <w:proofErr w:type="spellEnd"/>
            <w:r w:rsidR="006D03D5" w:rsidRPr="006D03D5">
              <w:rPr>
                <w:sz w:val="20"/>
                <w:szCs w:val="20"/>
              </w:rPr>
              <w:t xml:space="preserve"> ,</w:t>
            </w:r>
            <w:proofErr w:type="gramEnd"/>
            <w:r w:rsidR="006D03D5" w:rsidRPr="006D03D5">
              <w:rPr>
                <w:sz w:val="20"/>
                <w:szCs w:val="20"/>
              </w:rPr>
              <w:t xml:space="preserve"> </w:t>
            </w:r>
            <w:proofErr w:type="spellStart"/>
            <w:r w:rsidR="006D03D5" w:rsidRPr="006D03D5">
              <w:rPr>
                <w:sz w:val="20"/>
                <w:szCs w:val="20"/>
              </w:rPr>
              <w:t>timing</w:t>
            </w:r>
            <w:proofErr w:type="spellEnd"/>
            <w:r w:rsidR="006D03D5" w:rsidRPr="006D03D5">
              <w:rPr>
                <w:sz w:val="20"/>
                <w:szCs w:val="20"/>
              </w:rPr>
              <w:t xml:space="preserve">, and Budget as per </w:t>
            </w:r>
            <w:proofErr w:type="spellStart"/>
            <w:r w:rsidR="006D03D5" w:rsidRPr="006D03D5">
              <w:rPr>
                <w:sz w:val="20"/>
                <w:szCs w:val="20"/>
              </w:rPr>
              <w:t>the</w:t>
            </w:r>
            <w:proofErr w:type="spellEnd"/>
            <w:r w:rsidR="006D03D5" w:rsidRPr="006D03D5">
              <w:rPr>
                <w:sz w:val="20"/>
                <w:szCs w:val="20"/>
              </w:rPr>
              <w:t xml:space="preserve"> SOW. (B)</w:t>
            </w:r>
          </w:p>
          <w:p w:rsidR="00A93A39" w:rsidRPr="001E7A8A" w:rsidRDefault="00A93A39" w:rsidP="00A93A39">
            <w:pPr>
              <w:pStyle w:val="ListParagraph"/>
              <w:ind w:left="16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E92459" w:rsidRPr="001E7A8A" w:rsidRDefault="006D03D5" w:rsidP="00E924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Proposal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Review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(</w:t>
            </w:r>
            <w:proofErr w:type="spellStart"/>
            <w:r>
              <w:rPr>
                <w:sz w:val="20"/>
                <w:szCs w:val="20"/>
                <w:u w:val="single"/>
              </w:rPr>
              <w:t>Technical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Team</w:t>
            </w:r>
            <w:proofErr w:type="spellEnd"/>
            <w:r>
              <w:rPr>
                <w:sz w:val="20"/>
                <w:szCs w:val="20"/>
                <w:u w:val="single"/>
              </w:rPr>
              <w:t>):</w:t>
            </w:r>
          </w:p>
          <w:p w:rsidR="00E92459" w:rsidRPr="001E7A8A" w:rsidRDefault="00E92459" w:rsidP="00E92459">
            <w:pPr>
              <w:rPr>
                <w:sz w:val="20"/>
                <w:szCs w:val="20"/>
              </w:rPr>
            </w:pPr>
          </w:p>
          <w:p w:rsidR="00E92459" w:rsidRPr="001E7A8A" w:rsidRDefault="006D03D5" w:rsidP="006D03D5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USAID </w:t>
            </w:r>
            <w:proofErr w:type="spellStart"/>
            <w:r>
              <w:rPr>
                <w:sz w:val="20"/>
                <w:szCs w:val="20"/>
              </w:rPr>
              <w:t>technical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committee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reviews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Proposals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received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following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RFP </w:t>
            </w:r>
            <w:proofErr w:type="spellStart"/>
            <w:r>
              <w:rPr>
                <w:sz w:val="20"/>
                <w:szCs w:val="20"/>
              </w:rPr>
              <w:t>criteria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full </w:t>
            </w:r>
            <w:proofErr w:type="spellStart"/>
            <w:r>
              <w:rPr>
                <w:sz w:val="20"/>
                <w:szCs w:val="20"/>
              </w:rPr>
              <w:t>Activity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including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EA (A),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following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RFP’s</w:t>
            </w:r>
            <w:proofErr w:type="spellEnd"/>
            <w:r>
              <w:rPr>
                <w:sz w:val="20"/>
                <w:szCs w:val="20"/>
              </w:rPr>
              <w:t xml:space="preserve"> SOW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preparation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EA as a </w:t>
            </w:r>
            <w:proofErr w:type="spellStart"/>
            <w:r>
              <w:rPr>
                <w:sz w:val="20"/>
                <w:szCs w:val="20"/>
              </w:rPr>
              <w:t>contract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directly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USAID (B). </w:t>
            </w:r>
          </w:p>
        </w:tc>
        <w:tc>
          <w:tcPr>
            <w:tcW w:w="2340" w:type="dxa"/>
          </w:tcPr>
          <w:p w:rsidR="00E92459" w:rsidRPr="001E7A8A" w:rsidRDefault="006D03D5" w:rsidP="00E924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Contract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or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Agreement</w:t>
            </w:r>
            <w:proofErr w:type="spellEnd"/>
            <w:r w:rsidR="00E92459" w:rsidRPr="001E7A8A">
              <w:rPr>
                <w:sz w:val="20"/>
                <w:szCs w:val="20"/>
              </w:rPr>
              <w:t xml:space="preserve">: </w:t>
            </w:r>
          </w:p>
          <w:p w:rsidR="00E92459" w:rsidRPr="001E7A8A" w:rsidRDefault="00E92459" w:rsidP="00E92459">
            <w:pPr>
              <w:rPr>
                <w:sz w:val="20"/>
                <w:szCs w:val="20"/>
              </w:rPr>
            </w:pPr>
          </w:p>
          <w:p w:rsidR="00E92459" w:rsidRPr="001E7A8A" w:rsidRDefault="00E92459" w:rsidP="00E92459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sz w:val="20"/>
                <w:szCs w:val="20"/>
              </w:rPr>
            </w:pPr>
            <w:r w:rsidRPr="001E7A8A">
              <w:rPr>
                <w:sz w:val="20"/>
                <w:szCs w:val="20"/>
              </w:rPr>
              <w:t xml:space="preserve">El contrato o acuerdo incluye las responsabilidades para cumplir con los requisitos del IEE sobre documentación ambiental. Usar el Anexo de ADS 204 (Lenguaje Ambiental para Contratos) como guía. </w:t>
            </w:r>
          </w:p>
          <w:p w:rsidR="00E92459" w:rsidRPr="001E7A8A" w:rsidRDefault="00E92459" w:rsidP="00E92459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sz w:val="20"/>
                <w:szCs w:val="20"/>
              </w:rPr>
            </w:pPr>
            <w:r w:rsidRPr="001E7A8A">
              <w:rPr>
                <w:sz w:val="20"/>
                <w:szCs w:val="20"/>
              </w:rPr>
              <w:t>El contrato o acuerdo debería</w:t>
            </w:r>
            <w:r w:rsidRPr="001A7651">
              <w:rPr>
                <w:sz w:val="20"/>
                <w:szCs w:val="20"/>
              </w:rPr>
              <w:t xml:space="preserve"> incluir</w:t>
            </w:r>
            <w:r w:rsidRPr="001E7A8A">
              <w:rPr>
                <w:sz w:val="20"/>
                <w:szCs w:val="20"/>
              </w:rPr>
              <w:t xml:space="preserve"> una sección ambiental indicando:  </w:t>
            </w:r>
          </w:p>
          <w:p w:rsidR="00E92459" w:rsidRPr="001E7A8A" w:rsidRDefault="00E92459" w:rsidP="00E92459">
            <w:pPr>
              <w:pStyle w:val="ListParagraph"/>
              <w:numPr>
                <w:ilvl w:val="0"/>
                <w:numId w:val="9"/>
              </w:numPr>
              <w:ind w:left="342" w:hanging="180"/>
              <w:rPr>
                <w:sz w:val="20"/>
                <w:szCs w:val="20"/>
              </w:rPr>
            </w:pPr>
            <w:r w:rsidRPr="001E7A8A">
              <w:rPr>
                <w:sz w:val="20"/>
                <w:szCs w:val="20"/>
              </w:rPr>
              <w:t xml:space="preserve">Nivel de determinación (DNCC), </w:t>
            </w:r>
          </w:p>
          <w:p w:rsidR="00E92459" w:rsidRPr="001E7A8A" w:rsidRDefault="00E92459" w:rsidP="00E92459">
            <w:pPr>
              <w:pStyle w:val="ListParagraph"/>
              <w:numPr>
                <w:ilvl w:val="0"/>
                <w:numId w:val="9"/>
              </w:numPr>
              <w:ind w:left="342" w:hanging="180"/>
              <w:rPr>
                <w:sz w:val="20"/>
                <w:szCs w:val="20"/>
              </w:rPr>
            </w:pPr>
            <w:r w:rsidRPr="001E7A8A">
              <w:rPr>
                <w:sz w:val="20"/>
                <w:szCs w:val="20"/>
              </w:rPr>
              <w:t>Tipo de documentación  necesari</w:t>
            </w:r>
            <w:r>
              <w:rPr>
                <w:sz w:val="20"/>
                <w:szCs w:val="20"/>
              </w:rPr>
              <w:t>a</w:t>
            </w:r>
            <w:r w:rsidRPr="001E7A8A">
              <w:rPr>
                <w:sz w:val="20"/>
                <w:szCs w:val="20"/>
              </w:rPr>
              <w:t xml:space="preserve"> (EMMP, Evaluación Ambiental (EA), y PERSUAP),</w:t>
            </w:r>
          </w:p>
          <w:p w:rsidR="00E92459" w:rsidRPr="001E7A8A" w:rsidRDefault="00E92459" w:rsidP="00E92459">
            <w:pPr>
              <w:pStyle w:val="ListParagraph"/>
              <w:numPr>
                <w:ilvl w:val="0"/>
                <w:numId w:val="9"/>
              </w:numPr>
              <w:ind w:left="342" w:hanging="180"/>
              <w:rPr>
                <w:sz w:val="20"/>
                <w:szCs w:val="20"/>
              </w:rPr>
            </w:pPr>
            <w:r w:rsidRPr="001E7A8A">
              <w:rPr>
                <w:sz w:val="20"/>
                <w:szCs w:val="20"/>
              </w:rPr>
              <w:t>Informes  ambientales necesarios.</w:t>
            </w:r>
          </w:p>
          <w:p w:rsidR="00E92459" w:rsidRPr="006100A0" w:rsidRDefault="00E92459" w:rsidP="00E92459">
            <w:pPr>
              <w:pStyle w:val="ListParagraph"/>
              <w:rPr>
                <w:sz w:val="20"/>
                <w:szCs w:val="20"/>
              </w:rPr>
            </w:pPr>
          </w:p>
          <w:p w:rsidR="00E92459" w:rsidRPr="004435CF" w:rsidRDefault="00E92459" w:rsidP="00E92459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507" w:type="dxa"/>
          </w:tcPr>
          <w:p w:rsidR="00E92459" w:rsidRPr="006100A0" w:rsidRDefault="00E92459" w:rsidP="00E92459">
            <w:pPr>
              <w:rPr>
                <w:sz w:val="20"/>
                <w:szCs w:val="20"/>
              </w:rPr>
            </w:pPr>
            <w:r w:rsidRPr="006100A0">
              <w:rPr>
                <w:sz w:val="20"/>
                <w:szCs w:val="20"/>
                <w:u w:val="single"/>
              </w:rPr>
              <w:t>Conferencia de Otorgamiento</w:t>
            </w:r>
            <w:r w:rsidRPr="006100A0">
              <w:rPr>
                <w:sz w:val="20"/>
                <w:szCs w:val="20"/>
              </w:rPr>
              <w:t>:</w:t>
            </w:r>
          </w:p>
          <w:p w:rsidR="00E92459" w:rsidRPr="001E7A8A" w:rsidRDefault="00E92459" w:rsidP="00E92459">
            <w:pPr>
              <w:rPr>
                <w:sz w:val="20"/>
                <w:szCs w:val="20"/>
              </w:rPr>
            </w:pPr>
          </w:p>
          <w:p w:rsidR="00E92459" w:rsidRPr="001E7A8A" w:rsidRDefault="00E92459" w:rsidP="00E92459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sz w:val="20"/>
                <w:szCs w:val="20"/>
              </w:rPr>
            </w:pPr>
            <w:r w:rsidRPr="001E7A8A">
              <w:rPr>
                <w:sz w:val="20"/>
                <w:szCs w:val="20"/>
              </w:rPr>
              <w:t>(</w:t>
            </w:r>
            <w:r w:rsidRPr="00C02DDC">
              <w:rPr>
                <w:i/>
                <w:sz w:val="20"/>
                <w:szCs w:val="20"/>
              </w:rPr>
              <w:t>Post</w:t>
            </w:r>
            <w:r>
              <w:rPr>
                <w:i/>
                <w:sz w:val="20"/>
                <w:szCs w:val="20"/>
              </w:rPr>
              <w:t>-</w:t>
            </w:r>
            <w:proofErr w:type="spellStart"/>
            <w:r w:rsidRPr="00C02DDC">
              <w:rPr>
                <w:i/>
                <w:sz w:val="20"/>
                <w:szCs w:val="20"/>
              </w:rPr>
              <w:t>award</w:t>
            </w:r>
            <w:proofErr w:type="spellEnd"/>
            <w:r w:rsidRPr="00C02DDC">
              <w:rPr>
                <w:i/>
                <w:sz w:val="20"/>
                <w:szCs w:val="20"/>
              </w:rPr>
              <w:t xml:space="preserve"> meeting</w:t>
            </w:r>
            <w:r w:rsidRPr="001E7A8A">
              <w:rPr>
                <w:sz w:val="20"/>
                <w:szCs w:val="20"/>
              </w:rPr>
              <w:t xml:space="preserve"> en inglés) El Oficial de Contratos, AOR-COR, el Socio-y el Oficial Ambiental de la Misión (MEO) participan cuando sea un</w:t>
            </w:r>
            <w:r>
              <w:rPr>
                <w:sz w:val="20"/>
                <w:szCs w:val="20"/>
              </w:rPr>
              <w:t>a</w:t>
            </w:r>
            <w:r w:rsidRPr="001E7A8A">
              <w:rPr>
                <w:sz w:val="20"/>
                <w:szCs w:val="20"/>
              </w:rPr>
              <w:t xml:space="preserve"> DNCC, se reúnen para revisar los requisitos del contrato.  </w:t>
            </w:r>
          </w:p>
          <w:p w:rsidR="00E92459" w:rsidRPr="001E7A8A" w:rsidRDefault="00E92459" w:rsidP="00E92459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sz w:val="20"/>
                <w:szCs w:val="20"/>
              </w:rPr>
            </w:pPr>
            <w:r w:rsidRPr="001E7A8A">
              <w:rPr>
                <w:sz w:val="20"/>
                <w:szCs w:val="20"/>
              </w:rPr>
              <w:t>El MEO da dirección al Socio en la preparación (según el IEE) y tiempo necesario para los documentos ambientales.</w:t>
            </w:r>
          </w:p>
        </w:tc>
      </w:tr>
    </w:tbl>
    <w:p w:rsidR="000360AE" w:rsidRPr="004435CF" w:rsidRDefault="000360AE" w:rsidP="0020329A">
      <w:pPr>
        <w:rPr>
          <w:b/>
          <w:sz w:val="20"/>
          <w:szCs w:val="20"/>
        </w:rPr>
        <w:sectPr w:rsidR="000360AE" w:rsidRPr="004435CF" w:rsidSect="0056203F">
          <w:footerReference w:type="default" r:id="rId8"/>
          <w:pgSz w:w="20160" w:h="12240" w:orient="landscape" w:code="5"/>
          <w:pgMar w:top="1152" w:right="1411" w:bottom="1699" w:left="1411" w:header="706" w:footer="706" w:gutter="0"/>
          <w:cols w:space="708"/>
          <w:docGrid w:linePitch="360"/>
        </w:sectPr>
      </w:pPr>
    </w:p>
    <w:tbl>
      <w:tblPr>
        <w:tblStyle w:val="TableGrid"/>
        <w:tblpPr w:leftFromText="141" w:rightFromText="141" w:vertAnchor="text" w:horzAnchor="margin" w:tblpX="18" w:tblpY="905"/>
        <w:tblW w:w="16020" w:type="dxa"/>
        <w:tblLayout w:type="fixed"/>
        <w:tblLook w:val="04A0" w:firstRow="1" w:lastRow="0" w:firstColumn="1" w:lastColumn="0" w:noHBand="0" w:noVBand="1"/>
      </w:tblPr>
      <w:tblGrid>
        <w:gridCol w:w="2340"/>
        <w:gridCol w:w="2160"/>
        <w:gridCol w:w="2160"/>
        <w:gridCol w:w="2160"/>
        <w:gridCol w:w="2160"/>
        <w:gridCol w:w="2160"/>
        <w:gridCol w:w="2880"/>
      </w:tblGrid>
      <w:tr w:rsidR="004435CF" w:rsidRPr="001E7A8A" w:rsidTr="00D7105C">
        <w:trPr>
          <w:trHeight w:val="440"/>
        </w:trPr>
        <w:tc>
          <w:tcPr>
            <w:tcW w:w="2340" w:type="dxa"/>
            <w:shd w:val="clear" w:color="auto" w:fill="C5E0B3" w:themeFill="accent6" w:themeFillTint="66"/>
          </w:tcPr>
          <w:p w:rsidR="004435CF" w:rsidRPr="001E7A8A" w:rsidRDefault="004435CF" w:rsidP="009C6F2F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1E7A8A">
              <w:rPr>
                <w:b/>
                <w:sz w:val="20"/>
                <w:szCs w:val="20"/>
              </w:rPr>
              <w:lastRenderedPageBreak/>
              <w:t xml:space="preserve">Socios- 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:rsidR="004435CF" w:rsidRPr="001E7A8A" w:rsidRDefault="004435CF" w:rsidP="009C6F2F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1E7A8A">
              <w:rPr>
                <w:b/>
                <w:sz w:val="20"/>
                <w:szCs w:val="20"/>
              </w:rPr>
              <w:t>USAID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:rsidR="004435CF" w:rsidRPr="001E7A8A" w:rsidRDefault="004435CF" w:rsidP="009C6F2F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1E7A8A">
              <w:rPr>
                <w:b/>
                <w:sz w:val="20"/>
                <w:szCs w:val="20"/>
              </w:rPr>
              <w:t>Socios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:rsidR="004435CF" w:rsidRPr="001E7A8A" w:rsidRDefault="004435CF" w:rsidP="009C6F2F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1E7A8A">
              <w:rPr>
                <w:b/>
                <w:sz w:val="20"/>
                <w:szCs w:val="20"/>
              </w:rPr>
              <w:t>Socios y USAID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:rsidR="004435CF" w:rsidRPr="001E7A8A" w:rsidRDefault="004435CF" w:rsidP="009C6F2F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1E7A8A">
              <w:rPr>
                <w:b/>
                <w:sz w:val="20"/>
                <w:szCs w:val="20"/>
              </w:rPr>
              <w:t>Socios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:rsidR="004435CF" w:rsidRPr="001E7A8A" w:rsidRDefault="004435CF" w:rsidP="009C6F2F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1E7A8A">
              <w:rPr>
                <w:b/>
                <w:sz w:val="20"/>
                <w:szCs w:val="20"/>
              </w:rPr>
              <w:t>USAID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:rsidR="004435CF" w:rsidRPr="001E7A8A" w:rsidRDefault="004435CF" w:rsidP="009C6F2F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1E7A8A">
              <w:rPr>
                <w:b/>
                <w:sz w:val="20"/>
                <w:szCs w:val="20"/>
              </w:rPr>
              <w:t>Socios</w:t>
            </w:r>
          </w:p>
        </w:tc>
      </w:tr>
      <w:tr w:rsidR="004435CF" w:rsidRPr="00E92459" w:rsidTr="00D7105C">
        <w:tc>
          <w:tcPr>
            <w:tcW w:w="2340" w:type="dxa"/>
          </w:tcPr>
          <w:p w:rsidR="004435CF" w:rsidRPr="001E7A8A" w:rsidRDefault="004435CF" w:rsidP="009C6F2F">
            <w:pPr>
              <w:rPr>
                <w:sz w:val="20"/>
                <w:szCs w:val="20"/>
              </w:rPr>
            </w:pPr>
            <w:r w:rsidRPr="006100A0">
              <w:rPr>
                <w:sz w:val="20"/>
                <w:szCs w:val="20"/>
                <w:u w:val="single"/>
              </w:rPr>
              <w:t>Preparación de</w:t>
            </w:r>
            <w:r>
              <w:rPr>
                <w:sz w:val="20"/>
                <w:szCs w:val="20"/>
                <w:u w:val="single"/>
              </w:rPr>
              <w:t>l EMMP</w:t>
            </w:r>
            <w:r w:rsidRPr="001E7A8A">
              <w:rPr>
                <w:sz w:val="20"/>
                <w:szCs w:val="20"/>
              </w:rPr>
              <w:t>:</w:t>
            </w:r>
          </w:p>
          <w:p w:rsidR="004435CF" w:rsidRPr="001E7A8A" w:rsidRDefault="004435CF" w:rsidP="009C6F2F">
            <w:pPr>
              <w:rPr>
                <w:sz w:val="20"/>
                <w:szCs w:val="20"/>
              </w:rPr>
            </w:pPr>
          </w:p>
          <w:p w:rsidR="004435CF" w:rsidRPr="00F44E7A" w:rsidRDefault="004435CF" w:rsidP="009C6F2F">
            <w:pPr>
              <w:pStyle w:val="ListParagraph"/>
              <w:numPr>
                <w:ilvl w:val="0"/>
                <w:numId w:val="11"/>
              </w:numPr>
              <w:spacing w:after="120"/>
              <w:ind w:left="180" w:hanging="180"/>
              <w:rPr>
                <w:sz w:val="20"/>
                <w:szCs w:val="20"/>
              </w:rPr>
            </w:pPr>
            <w:r w:rsidRPr="001E7A8A">
              <w:rPr>
                <w:sz w:val="20"/>
                <w:szCs w:val="20"/>
              </w:rPr>
              <w:t>Como parte del plan de trabajo anual</w:t>
            </w:r>
            <w:r w:rsidR="0028613D">
              <w:rPr>
                <w:sz w:val="20"/>
                <w:szCs w:val="20"/>
              </w:rPr>
              <w:t>,</w:t>
            </w:r>
            <w:r w:rsidR="00083C31">
              <w:rPr>
                <w:sz w:val="20"/>
                <w:szCs w:val="20"/>
              </w:rPr>
              <w:t xml:space="preserve"> el socio </w:t>
            </w:r>
            <w:r w:rsidR="00083C31" w:rsidRPr="00083C31">
              <w:rPr>
                <w:color w:val="FF0000"/>
                <w:sz w:val="20"/>
                <w:szCs w:val="20"/>
              </w:rPr>
              <w:t>actualiza</w:t>
            </w:r>
            <w:r w:rsidRPr="00083C31">
              <w:rPr>
                <w:color w:val="FF0000"/>
                <w:sz w:val="20"/>
                <w:szCs w:val="20"/>
              </w:rPr>
              <w:t xml:space="preserve"> el </w:t>
            </w:r>
            <w:r w:rsidR="00083C31" w:rsidRPr="00083C31">
              <w:rPr>
                <w:color w:val="FF0000"/>
                <w:sz w:val="20"/>
                <w:szCs w:val="20"/>
              </w:rPr>
              <w:t xml:space="preserve">borrador del </w:t>
            </w:r>
            <w:r w:rsidRPr="00083C31">
              <w:rPr>
                <w:color w:val="FF0000"/>
                <w:sz w:val="20"/>
                <w:szCs w:val="20"/>
              </w:rPr>
              <w:t xml:space="preserve">EMMP </w:t>
            </w:r>
            <w:r w:rsidR="00083C31" w:rsidRPr="00083C31">
              <w:rPr>
                <w:color w:val="FF0000"/>
                <w:sz w:val="20"/>
                <w:szCs w:val="20"/>
              </w:rPr>
              <w:t xml:space="preserve">original </w:t>
            </w:r>
            <w:r w:rsidR="00083C31">
              <w:rPr>
                <w:color w:val="FF0000"/>
                <w:sz w:val="20"/>
                <w:szCs w:val="20"/>
              </w:rPr>
              <w:t xml:space="preserve">(del Paso 4) </w:t>
            </w:r>
            <w:r w:rsidRPr="005B2C04">
              <w:rPr>
                <w:sz w:val="20"/>
                <w:szCs w:val="20"/>
              </w:rPr>
              <w:t>para el primer año</w:t>
            </w:r>
            <w:r w:rsidRPr="00F44E7A">
              <w:rPr>
                <w:sz w:val="20"/>
                <w:szCs w:val="20"/>
              </w:rPr>
              <w:t xml:space="preserve">. </w:t>
            </w:r>
          </w:p>
          <w:p w:rsidR="004435CF" w:rsidRPr="001E7A8A" w:rsidRDefault="004435CF" w:rsidP="009C6F2F">
            <w:pPr>
              <w:pStyle w:val="ListParagraph"/>
              <w:numPr>
                <w:ilvl w:val="0"/>
                <w:numId w:val="11"/>
              </w:numPr>
              <w:spacing w:after="120"/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 EMMP es el documento ambiental oficial que cumpl</w:t>
            </w:r>
            <w:r w:rsidR="006B200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con los requisitos de la DNCC del IEE y tiene que ser aprobado por USAID antes de la implementación de l</w:t>
            </w:r>
            <w:r w:rsidR="006B200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s acciones. </w:t>
            </w:r>
          </w:p>
        </w:tc>
        <w:tc>
          <w:tcPr>
            <w:tcW w:w="2160" w:type="dxa"/>
          </w:tcPr>
          <w:p w:rsidR="004435CF" w:rsidRPr="005B2C04" w:rsidRDefault="004435CF" w:rsidP="009C6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Aprobación del </w:t>
            </w:r>
            <w:r w:rsidRPr="005B2C04">
              <w:rPr>
                <w:sz w:val="20"/>
                <w:szCs w:val="20"/>
                <w:u w:val="single"/>
              </w:rPr>
              <w:t>EMMP</w:t>
            </w:r>
            <w:r w:rsidRPr="005B2C04">
              <w:rPr>
                <w:sz w:val="20"/>
                <w:szCs w:val="20"/>
              </w:rPr>
              <w:t>:</w:t>
            </w:r>
          </w:p>
          <w:p w:rsidR="004435CF" w:rsidRPr="00F44E7A" w:rsidRDefault="004435CF" w:rsidP="009C6F2F">
            <w:pPr>
              <w:rPr>
                <w:sz w:val="20"/>
                <w:szCs w:val="20"/>
              </w:rPr>
            </w:pPr>
          </w:p>
          <w:p w:rsidR="004435CF" w:rsidRDefault="004435CF" w:rsidP="009C6F2F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sz w:val="20"/>
                <w:szCs w:val="20"/>
              </w:rPr>
            </w:pPr>
            <w:r w:rsidRPr="00F44E7A">
              <w:rPr>
                <w:sz w:val="20"/>
                <w:szCs w:val="20"/>
              </w:rPr>
              <w:t xml:space="preserve">Se revisa y aprueba el </w:t>
            </w:r>
            <w:r w:rsidRPr="001636CD">
              <w:rPr>
                <w:sz w:val="20"/>
                <w:szCs w:val="20"/>
              </w:rPr>
              <w:t xml:space="preserve">EMMP.  El AOR-COR, </w:t>
            </w:r>
            <w:r w:rsidR="00356909">
              <w:rPr>
                <w:sz w:val="20"/>
                <w:szCs w:val="20"/>
              </w:rPr>
              <w:t xml:space="preserve">el </w:t>
            </w:r>
            <w:r w:rsidRPr="001636CD">
              <w:rPr>
                <w:sz w:val="20"/>
                <w:szCs w:val="20"/>
              </w:rPr>
              <w:t>MEO y a veces</w:t>
            </w:r>
            <w:r w:rsidR="0096652E">
              <w:rPr>
                <w:sz w:val="20"/>
                <w:szCs w:val="20"/>
              </w:rPr>
              <w:t xml:space="preserve"> el</w:t>
            </w:r>
            <w:r w:rsidRPr="001636CD">
              <w:rPr>
                <w:sz w:val="20"/>
                <w:szCs w:val="20"/>
              </w:rPr>
              <w:t xml:space="preserve"> REA</w:t>
            </w:r>
            <w:r w:rsidRPr="004435CF">
              <w:rPr>
                <w:sz w:val="20"/>
                <w:szCs w:val="20"/>
              </w:rPr>
              <w:t xml:space="preserve"> son los que aprueban.</w:t>
            </w:r>
          </w:p>
          <w:p w:rsidR="004435CF" w:rsidRPr="00F44E7A" w:rsidRDefault="004435CF" w:rsidP="009C6F2F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AOR/COR guarda una copia del EMMP en los archivos de la Actividad. </w:t>
            </w:r>
          </w:p>
          <w:p w:rsidR="004435CF" w:rsidRPr="001636CD" w:rsidRDefault="004435CF" w:rsidP="009C6F2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435CF" w:rsidRPr="005B6590" w:rsidRDefault="004435CF" w:rsidP="009C6F2F">
            <w:pPr>
              <w:rPr>
                <w:sz w:val="20"/>
                <w:szCs w:val="20"/>
              </w:rPr>
            </w:pPr>
            <w:r w:rsidRPr="005B6590">
              <w:rPr>
                <w:sz w:val="20"/>
                <w:szCs w:val="20"/>
                <w:u w:val="single"/>
              </w:rPr>
              <w:t>Implementación:</w:t>
            </w:r>
          </w:p>
          <w:p w:rsidR="00E92459" w:rsidRPr="00E92459" w:rsidRDefault="004435CF" w:rsidP="00AB61EF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ind w:left="162" w:hanging="162"/>
              <w:rPr>
                <w:rFonts w:ascii="Calibri" w:hAnsi="Calibri" w:cs="Calibri"/>
              </w:rPr>
            </w:pPr>
            <w:r w:rsidRPr="005B6590">
              <w:rPr>
                <w:sz w:val="20"/>
                <w:szCs w:val="20"/>
              </w:rPr>
              <w:t>Se implementan las actividades de mitigaci</w:t>
            </w:r>
            <w:r w:rsidR="00356909">
              <w:rPr>
                <w:sz w:val="20"/>
                <w:szCs w:val="20"/>
              </w:rPr>
              <w:t>ó</w:t>
            </w:r>
            <w:r w:rsidRPr="005B6590">
              <w:rPr>
                <w:sz w:val="20"/>
                <w:szCs w:val="20"/>
              </w:rPr>
              <w:t>n recomenda</w:t>
            </w:r>
            <w:r w:rsidR="006B2009">
              <w:rPr>
                <w:sz w:val="20"/>
                <w:szCs w:val="20"/>
              </w:rPr>
              <w:t>da</w:t>
            </w:r>
            <w:r w:rsidRPr="00F44E7A">
              <w:rPr>
                <w:sz w:val="20"/>
                <w:szCs w:val="20"/>
              </w:rPr>
              <w:t>s en el EMMP.</w:t>
            </w:r>
          </w:p>
          <w:p w:rsidR="00AB61EF" w:rsidRPr="00083C31" w:rsidRDefault="00AB61EF" w:rsidP="00AB61EF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ind w:left="162" w:hanging="162"/>
              <w:rPr>
                <w:rFonts w:ascii="Calibri" w:hAnsi="Calibri" w:cs="Calibri"/>
                <w:sz w:val="20"/>
                <w:szCs w:val="20"/>
              </w:rPr>
            </w:pPr>
            <w:r w:rsidRPr="00083C31">
              <w:rPr>
                <w:rFonts w:ascii="Calibri" w:hAnsi="Calibri" w:cs="Calibri"/>
                <w:sz w:val="20"/>
                <w:szCs w:val="20"/>
              </w:rPr>
              <w:t>El EMMP debe ser adaptable y modificado cuando se añaden nuevas actividades</w:t>
            </w:r>
            <w:r w:rsidR="00574554" w:rsidRPr="00083C31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4435CF" w:rsidRPr="00E92459" w:rsidRDefault="004435CF" w:rsidP="00E92459">
            <w:pPr>
              <w:pStyle w:val="ListParagraph"/>
              <w:spacing w:after="120"/>
              <w:ind w:left="16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4435CF" w:rsidRPr="00E92459" w:rsidRDefault="004435CF" w:rsidP="009C6F2F">
            <w:pPr>
              <w:rPr>
                <w:rFonts w:ascii="Calibri" w:hAnsi="Calibri" w:cs="Calibri"/>
                <w:sz w:val="20"/>
                <w:szCs w:val="20"/>
              </w:rPr>
            </w:pPr>
            <w:r w:rsidRPr="00E92459">
              <w:rPr>
                <w:rFonts w:ascii="Calibri" w:hAnsi="Calibri" w:cs="Calibri"/>
                <w:sz w:val="20"/>
                <w:szCs w:val="20"/>
                <w:u w:val="single"/>
              </w:rPr>
              <w:t>Monitoreo</w:t>
            </w:r>
            <w:r w:rsidRPr="00E92459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  <w:p w:rsidR="004435CF" w:rsidRPr="00E92459" w:rsidRDefault="004435CF" w:rsidP="009C6F2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435CF" w:rsidRPr="005B6590" w:rsidRDefault="004435CF" w:rsidP="009C6F2F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sz w:val="20"/>
                <w:szCs w:val="20"/>
              </w:rPr>
            </w:pPr>
            <w:r w:rsidRPr="00E92459">
              <w:rPr>
                <w:rFonts w:ascii="Calibri" w:hAnsi="Calibri" w:cs="Calibri"/>
                <w:sz w:val="20"/>
                <w:szCs w:val="20"/>
              </w:rPr>
              <w:t>Se monitorean las actividades de mitigación por indica</w:t>
            </w:r>
            <w:r w:rsidRPr="00F44E7A">
              <w:rPr>
                <w:sz w:val="20"/>
                <w:szCs w:val="20"/>
              </w:rPr>
              <w:t>dores</w:t>
            </w:r>
            <w:r w:rsidR="009B46D0">
              <w:rPr>
                <w:sz w:val="20"/>
                <w:szCs w:val="20"/>
              </w:rPr>
              <w:t>,</w:t>
            </w:r>
            <w:r w:rsidRPr="00F44E7A">
              <w:rPr>
                <w:sz w:val="20"/>
                <w:szCs w:val="20"/>
              </w:rPr>
              <w:t xml:space="preserve"> usando </w:t>
            </w:r>
            <w:r w:rsidRPr="001636CD">
              <w:rPr>
                <w:sz w:val="20"/>
                <w:szCs w:val="20"/>
              </w:rPr>
              <w:t xml:space="preserve">la </w:t>
            </w:r>
            <w:r w:rsidRPr="005B6590">
              <w:rPr>
                <w:sz w:val="20"/>
                <w:szCs w:val="20"/>
              </w:rPr>
              <w:t>Tabla 3 del EMMP.</w:t>
            </w:r>
          </w:p>
          <w:p w:rsidR="004435CF" w:rsidRPr="005B6590" w:rsidRDefault="004435CF" w:rsidP="009C6F2F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sz w:val="20"/>
                <w:szCs w:val="20"/>
              </w:rPr>
            </w:pPr>
            <w:r w:rsidRPr="005B6590">
              <w:rPr>
                <w:sz w:val="20"/>
                <w:szCs w:val="20"/>
              </w:rPr>
              <w:t>Se documenta el monitoreo en la misma Tabla 3 (se presenta como parte del informe anual)</w:t>
            </w:r>
          </w:p>
          <w:p w:rsidR="004435CF" w:rsidRPr="00F44E7A" w:rsidRDefault="004435CF" w:rsidP="009C6F2F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sz w:val="20"/>
                <w:szCs w:val="20"/>
              </w:rPr>
            </w:pPr>
            <w:r w:rsidRPr="005B6590">
              <w:rPr>
                <w:sz w:val="20"/>
                <w:szCs w:val="20"/>
              </w:rPr>
              <w:t>Se corri</w:t>
            </w:r>
            <w:r w:rsidRPr="00F44E7A">
              <w:rPr>
                <w:sz w:val="20"/>
                <w:szCs w:val="20"/>
              </w:rPr>
              <w:t>gen mitigaciones que no fueron implementadas</w:t>
            </w:r>
            <w:r>
              <w:rPr>
                <w:sz w:val="20"/>
                <w:szCs w:val="20"/>
              </w:rPr>
              <w:t xml:space="preserve"> y/o que fallaron</w:t>
            </w:r>
            <w:r w:rsidRPr="00F44E7A">
              <w:rPr>
                <w:sz w:val="20"/>
                <w:szCs w:val="20"/>
              </w:rPr>
              <w:t xml:space="preserve">. </w:t>
            </w:r>
          </w:p>
          <w:p w:rsidR="004435CF" w:rsidRPr="005B6590" w:rsidRDefault="004435CF" w:rsidP="009C6F2F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sz w:val="20"/>
                <w:szCs w:val="20"/>
              </w:rPr>
            </w:pPr>
            <w:r w:rsidRPr="001636CD">
              <w:rPr>
                <w:sz w:val="20"/>
                <w:szCs w:val="20"/>
              </w:rPr>
              <w:t>Se incluye factores ambientales en las evaluaciones formales de la actividad.</w:t>
            </w:r>
          </w:p>
          <w:p w:rsidR="004435CF" w:rsidRPr="00F44E7A" w:rsidRDefault="00356909" w:rsidP="009B46D0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</w:t>
            </w:r>
            <w:r w:rsidR="004435CF" w:rsidRPr="005B6590">
              <w:rPr>
                <w:sz w:val="20"/>
                <w:szCs w:val="20"/>
              </w:rPr>
              <w:t xml:space="preserve">plica las lecciones aprendidas </w:t>
            </w:r>
            <w:r w:rsidR="009B46D0">
              <w:rPr>
                <w:sz w:val="20"/>
                <w:szCs w:val="20"/>
              </w:rPr>
              <w:t>en</w:t>
            </w:r>
            <w:r w:rsidR="004435CF" w:rsidRPr="005B6590">
              <w:rPr>
                <w:sz w:val="20"/>
                <w:szCs w:val="20"/>
              </w:rPr>
              <w:t xml:space="preserve"> las actividades actuales y futuras</w:t>
            </w:r>
            <w:r w:rsidR="004435CF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4435CF" w:rsidRPr="001636CD" w:rsidRDefault="004435CF" w:rsidP="009C6F2F">
            <w:pPr>
              <w:rPr>
                <w:sz w:val="20"/>
                <w:szCs w:val="20"/>
              </w:rPr>
            </w:pPr>
            <w:r w:rsidRPr="001636CD">
              <w:rPr>
                <w:sz w:val="20"/>
                <w:szCs w:val="20"/>
                <w:u w:val="single"/>
              </w:rPr>
              <w:t>Informe anual</w:t>
            </w:r>
            <w:r w:rsidRPr="001636CD">
              <w:rPr>
                <w:sz w:val="20"/>
                <w:szCs w:val="20"/>
              </w:rPr>
              <w:t xml:space="preserve">: </w:t>
            </w:r>
          </w:p>
          <w:p w:rsidR="004435CF" w:rsidRPr="005B6590" w:rsidRDefault="004435CF" w:rsidP="009C6F2F">
            <w:pPr>
              <w:rPr>
                <w:sz w:val="20"/>
                <w:szCs w:val="20"/>
              </w:rPr>
            </w:pPr>
          </w:p>
          <w:p w:rsidR="004435CF" w:rsidRPr="005B6590" w:rsidRDefault="004435CF" w:rsidP="009C6F2F">
            <w:pPr>
              <w:pStyle w:val="ListParagraph"/>
              <w:numPr>
                <w:ilvl w:val="0"/>
                <w:numId w:val="13"/>
              </w:numPr>
              <w:spacing w:after="120"/>
              <w:ind w:left="158" w:hanging="158"/>
              <w:rPr>
                <w:sz w:val="20"/>
                <w:szCs w:val="20"/>
              </w:rPr>
            </w:pPr>
            <w:r w:rsidRPr="005B6590">
              <w:rPr>
                <w:sz w:val="20"/>
                <w:szCs w:val="20"/>
              </w:rPr>
              <w:t>Se prepara el informe anual (</w:t>
            </w:r>
            <w:r>
              <w:rPr>
                <w:sz w:val="20"/>
                <w:szCs w:val="20"/>
              </w:rPr>
              <w:t xml:space="preserve">o </w:t>
            </w:r>
            <w:r w:rsidRPr="001636CD">
              <w:rPr>
                <w:sz w:val="20"/>
                <w:szCs w:val="20"/>
              </w:rPr>
              <w:t xml:space="preserve">según el contrato) usando la información de monitoreo </w:t>
            </w:r>
            <w:r w:rsidRPr="005B6590">
              <w:rPr>
                <w:sz w:val="20"/>
                <w:szCs w:val="20"/>
              </w:rPr>
              <w:t>de la Tabla 3.</w:t>
            </w:r>
          </w:p>
          <w:p w:rsidR="004435CF" w:rsidRPr="001636CD" w:rsidRDefault="004435CF" w:rsidP="009C6F2F">
            <w:pPr>
              <w:pStyle w:val="ListParagraph"/>
              <w:numPr>
                <w:ilvl w:val="0"/>
                <w:numId w:val="13"/>
              </w:numPr>
              <w:spacing w:after="120"/>
              <w:ind w:left="158" w:hanging="158"/>
              <w:rPr>
                <w:sz w:val="20"/>
                <w:szCs w:val="20"/>
              </w:rPr>
            </w:pPr>
            <w:r w:rsidRPr="005B6590">
              <w:rPr>
                <w:sz w:val="20"/>
                <w:szCs w:val="20"/>
              </w:rPr>
              <w:t>El informe anual incluye un</w:t>
            </w:r>
            <w:r w:rsidR="00574554">
              <w:rPr>
                <w:sz w:val="20"/>
                <w:szCs w:val="20"/>
              </w:rPr>
              <w:t xml:space="preserve"> </w:t>
            </w:r>
            <w:r w:rsidRPr="005B6590">
              <w:rPr>
                <w:sz w:val="20"/>
                <w:szCs w:val="20"/>
              </w:rPr>
              <w:t>resumen de las mitigaciones que no funcionaron</w:t>
            </w:r>
            <w:r>
              <w:rPr>
                <w:sz w:val="20"/>
                <w:szCs w:val="20"/>
              </w:rPr>
              <w:t xml:space="preserve"> y una explicación de los cambios que fueron hechos</w:t>
            </w:r>
            <w:r w:rsidR="00356909">
              <w:rPr>
                <w:sz w:val="20"/>
                <w:szCs w:val="20"/>
              </w:rPr>
              <w:t>.</w:t>
            </w:r>
          </w:p>
          <w:p w:rsidR="004435CF" w:rsidRPr="001636CD" w:rsidRDefault="004435CF" w:rsidP="00356909">
            <w:pPr>
              <w:pStyle w:val="ListParagraph"/>
              <w:numPr>
                <w:ilvl w:val="0"/>
                <w:numId w:val="13"/>
              </w:numPr>
              <w:spacing w:after="120"/>
              <w:ind w:left="158" w:hanging="158"/>
              <w:rPr>
                <w:sz w:val="20"/>
                <w:szCs w:val="20"/>
              </w:rPr>
            </w:pPr>
            <w:r w:rsidRPr="001636CD">
              <w:rPr>
                <w:sz w:val="20"/>
                <w:szCs w:val="20"/>
              </w:rPr>
              <w:t>Se junta la Tabla 3</w:t>
            </w:r>
            <w:r>
              <w:rPr>
                <w:sz w:val="20"/>
                <w:szCs w:val="20"/>
              </w:rPr>
              <w:t xml:space="preserve"> al </w:t>
            </w:r>
            <w:r w:rsidR="00356909">
              <w:rPr>
                <w:sz w:val="20"/>
                <w:szCs w:val="20"/>
              </w:rPr>
              <w:t xml:space="preserve">informe </w:t>
            </w:r>
            <w:r>
              <w:rPr>
                <w:sz w:val="20"/>
                <w:szCs w:val="20"/>
              </w:rPr>
              <w:t>como un Anexo</w:t>
            </w:r>
            <w:r w:rsidRPr="001636CD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4435CF" w:rsidRPr="005B6590" w:rsidRDefault="004435CF" w:rsidP="009C6F2F">
            <w:pPr>
              <w:rPr>
                <w:sz w:val="20"/>
                <w:szCs w:val="20"/>
                <w:lang w:val="pt-BR"/>
              </w:rPr>
            </w:pPr>
            <w:r w:rsidRPr="005B6590">
              <w:rPr>
                <w:sz w:val="20"/>
                <w:szCs w:val="20"/>
                <w:u w:val="single"/>
                <w:lang w:val="pt-BR"/>
              </w:rPr>
              <w:t>Informe anual</w:t>
            </w:r>
            <w:r w:rsidRPr="005B6590">
              <w:rPr>
                <w:sz w:val="20"/>
                <w:szCs w:val="20"/>
                <w:lang w:val="pt-BR"/>
              </w:rPr>
              <w:t xml:space="preserve">: </w:t>
            </w:r>
          </w:p>
          <w:p w:rsidR="004435CF" w:rsidRPr="005B6590" w:rsidRDefault="004435CF" w:rsidP="009C6F2F">
            <w:pPr>
              <w:rPr>
                <w:sz w:val="20"/>
                <w:szCs w:val="20"/>
                <w:lang w:val="pt-BR"/>
              </w:rPr>
            </w:pPr>
          </w:p>
          <w:p w:rsidR="004435CF" w:rsidRDefault="004435CF" w:rsidP="009C6F2F">
            <w:pPr>
              <w:pStyle w:val="ListParagraph"/>
              <w:numPr>
                <w:ilvl w:val="0"/>
                <w:numId w:val="16"/>
              </w:numPr>
              <w:ind w:left="162" w:hanging="162"/>
              <w:rPr>
                <w:sz w:val="20"/>
                <w:szCs w:val="20"/>
              </w:rPr>
            </w:pPr>
            <w:r w:rsidRPr="005B6590">
              <w:rPr>
                <w:sz w:val="20"/>
                <w:szCs w:val="20"/>
              </w:rPr>
              <w:t>El AOR-COR y el MEO revisan y aprueban el informe.</w:t>
            </w:r>
          </w:p>
          <w:p w:rsidR="004435CF" w:rsidRPr="004435CF" w:rsidRDefault="004435CF" w:rsidP="009C6F2F">
            <w:pPr>
              <w:pStyle w:val="ListParagraph"/>
              <w:numPr>
                <w:ilvl w:val="0"/>
                <w:numId w:val="16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MEO manda una copia del informe aprobado al REA. </w:t>
            </w:r>
          </w:p>
        </w:tc>
        <w:tc>
          <w:tcPr>
            <w:tcW w:w="2880" w:type="dxa"/>
          </w:tcPr>
          <w:p w:rsidR="004435CF" w:rsidRPr="005B6590" w:rsidRDefault="004435CF" w:rsidP="009C6F2F">
            <w:pPr>
              <w:rPr>
                <w:sz w:val="20"/>
                <w:szCs w:val="20"/>
              </w:rPr>
            </w:pPr>
            <w:proofErr w:type="spellStart"/>
            <w:r w:rsidRPr="005B6590">
              <w:rPr>
                <w:sz w:val="20"/>
                <w:szCs w:val="20"/>
                <w:u w:val="single"/>
              </w:rPr>
              <w:t>EMMPs</w:t>
            </w:r>
            <w:proofErr w:type="spellEnd"/>
            <w:r w:rsidRPr="005B6590">
              <w:rPr>
                <w:sz w:val="20"/>
                <w:szCs w:val="20"/>
                <w:u w:val="single"/>
              </w:rPr>
              <w:t xml:space="preserve"> subsiguientes</w:t>
            </w:r>
            <w:r w:rsidRPr="005B6590">
              <w:rPr>
                <w:sz w:val="20"/>
                <w:szCs w:val="20"/>
              </w:rPr>
              <w:t>:</w:t>
            </w:r>
          </w:p>
          <w:p w:rsidR="004435CF" w:rsidRPr="005B6590" w:rsidRDefault="004435CF" w:rsidP="009C6F2F">
            <w:pPr>
              <w:rPr>
                <w:sz w:val="20"/>
                <w:szCs w:val="20"/>
              </w:rPr>
            </w:pPr>
          </w:p>
          <w:p w:rsidR="004435CF" w:rsidRPr="005B6590" w:rsidRDefault="004435CF" w:rsidP="009C6F2F">
            <w:pPr>
              <w:pStyle w:val="ListParagraph"/>
              <w:numPr>
                <w:ilvl w:val="0"/>
                <w:numId w:val="14"/>
              </w:numPr>
              <w:spacing w:after="120"/>
              <w:ind w:left="158" w:hanging="158"/>
              <w:rPr>
                <w:sz w:val="20"/>
                <w:szCs w:val="20"/>
              </w:rPr>
            </w:pPr>
            <w:r w:rsidRPr="005B6590">
              <w:rPr>
                <w:sz w:val="20"/>
                <w:szCs w:val="20"/>
              </w:rPr>
              <w:t>Se prepara un EMMP para el segundo año de la actividad usando acciones que fuer</w:t>
            </w:r>
            <w:r w:rsidR="00430288">
              <w:rPr>
                <w:sz w:val="20"/>
                <w:szCs w:val="20"/>
              </w:rPr>
              <w:t>o</w:t>
            </w:r>
            <w:r w:rsidRPr="005B6590">
              <w:rPr>
                <w:sz w:val="20"/>
                <w:szCs w:val="20"/>
              </w:rPr>
              <w:t>n identificadas en el plan de trabajo para el segundo año.</w:t>
            </w:r>
          </w:p>
          <w:p w:rsidR="00E92459" w:rsidRPr="00E92459" w:rsidRDefault="004435CF" w:rsidP="00AB61EF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ind w:left="158" w:hanging="158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 xml:space="preserve">USAID </w:t>
            </w:r>
            <w:r w:rsidRPr="004435CF">
              <w:rPr>
                <w:sz w:val="20"/>
                <w:szCs w:val="20"/>
              </w:rPr>
              <w:t xml:space="preserve">aprueba el </w:t>
            </w:r>
            <w:r w:rsidRPr="005B6590">
              <w:rPr>
                <w:sz w:val="20"/>
                <w:szCs w:val="20"/>
              </w:rPr>
              <w:t>EMMP del año 2</w:t>
            </w:r>
            <w:r w:rsidR="00574554">
              <w:rPr>
                <w:sz w:val="20"/>
                <w:szCs w:val="20"/>
              </w:rPr>
              <w:t>.</w:t>
            </w:r>
          </w:p>
          <w:p w:rsidR="00AB61EF" w:rsidRPr="00E92459" w:rsidRDefault="00AB61EF" w:rsidP="00AB61EF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ind w:left="158" w:hanging="158"/>
              <w:rPr>
                <w:rFonts w:ascii="Calibri" w:hAnsi="Calibri" w:cs="Calibri"/>
                <w:sz w:val="20"/>
                <w:szCs w:val="20"/>
              </w:rPr>
            </w:pPr>
            <w:r w:rsidRPr="00E92459">
              <w:rPr>
                <w:rFonts w:ascii="Calibri" w:hAnsi="Calibri" w:cs="Calibri"/>
                <w:sz w:val="20"/>
                <w:szCs w:val="20"/>
              </w:rPr>
              <w:t>La preparación e informe del EMMP son actualizados cada año</w:t>
            </w:r>
            <w:r w:rsidR="00574554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4435CF" w:rsidRPr="00E92459" w:rsidRDefault="004435CF" w:rsidP="00E92459">
            <w:pPr>
              <w:pStyle w:val="ListParagraph"/>
              <w:spacing w:after="120"/>
              <w:ind w:left="158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04F01" w:rsidRDefault="004435CF" w:rsidP="00083C31">
      <w:pPr>
        <w:jc w:val="center"/>
      </w:pPr>
      <w:r w:rsidRPr="00E92459">
        <w:rPr>
          <w:rFonts w:ascii="Calibri" w:hAnsi="Calibri" w:cs="Calibri"/>
          <w:b/>
          <w:sz w:val="28"/>
          <w:szCs w:val="28"/>
          <w:u w:val="single"/>
        </w:rPr>
        <w:t>Proceso de Documentación Amb</w:t>
      </w:r>
      <w:r w:rsidRPr="006100A0">
        <w:rPr>
          <w:b/>
          <w:sz w:val="28"/>
          <w:szCs w:val="28"/>
          <w:u w:val="single"/>
        </w:rPr>
        <w:t xml:space="preserve">iental </w:t>
      </w:r>
      <w:r w:rsidR="00083C31">
        <w:rPr>
          <w:b/>
          <w:sz w:val="28"/>
          <w:szCs w:val="28"/>
          <w:u w:val="single"/>
        </w:rPr>
        <w:t xml:space="preserve">para </w:t>
      </w:r>
      <w:r w:rsidR="00083C31" w:rsidRPr="00F904B6">
        <w:rPr>
          <w:b/>
          <w:sz w:val="28"/>
          <w:szCs w:val="28"/>
          <w:u w:val="single"/>
        </w:rPr>
        <w:t>una Determinación Negativa Con Condiciones (DNCC)</w:t>
      </w:r>
      <w:r w:rsidR="00C125DD" w:rsidRPr="00F904B6">
        <w:rPr>
          <w:b/>
          <w:sz w:val="28"/>
          <w:szCs w:val="28"/>
          <w:u w:val="single"/>
        </w:rPr>
        <w:t xml:space="preserve"> </w:t>
      </w:r>
      <w:r w:rsidRPr="006100A0">
        <w:rPr>
          <w:b/>
          <w:sz w:val="28"/>
          <w:szCs w:val="28"/>
          <w:u w:val="single"/>
        </w:rPr>
        <w:t>de USAID</w:t>
      </w:r>
    </w:p>
    <w:p w:rsidR="004435CF" w:rsidRDefault="004435CF"/>
    <w:p w:rsidR="004435CF" w:rsidRPr="00C51FC1" w:rsidRDefault="004435CF"/>
    <w:p w:rsidR="00A04F01" w:rsidRPr="00C51FC1" w:rsidRDefault="00A04F01"/>
    <w:p w:rsidR="00A04F01" w:rsidRPr="00C51FC1" w:rsidRDefault="00A04F01"/>
    <w:p w:rsidR="00A04F01" w:rsidRPr="00C51FC1" w:rsidRDefault="00A04F01"/>
    <w:sectPr w:rsidR="00A04F01" w:rsidRPr="00C51FC1" w:rsidSect="00700F06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A39" w:rsidRDefault="00A93A39" w:rsidP="00832FD3">
      <w:pPr>
        <w:spacing w:after="0" w:line="240" w:lineRule="auto"/>
      </w:pPr>
      <w:r>
        <w:separator/>
      </w:r>
    </w:p>
  </w:endnote>
  <w:endnote w:type="continuationSeparator" w:id="0">
    <w:p w:rsidR="00A93A39" w:rsidRDefault="00A93A39" w:rsidP="0083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A39" w:rsidRPr="00083C31" w:rsidRDefault="00A93A39">
    <w:pPr>
      <w:pStyle w:val="Footer"/>
      <w:rPr>
        <w:color w:val="FF0000"/>
      </w:rPr>
    </w:pPr>
    <w:r>
      <w:rPr>
        <w:color w:val="FF0000"/>
      </w:rPr>
      <w:t>*</w:t>
    </w:r>
    <w:proofErr w:type="spellStart"/>
    <w:r>
      <w:rPr>
        <w:color w:val="FF0000"/>
      </w:rPr>
      <w:t>Includes</w:t>
    </w:r>
    <w:proofErr w:type="spellEnd"/>
    <w:r>
      <w:rPr>
        <w:color w:val="FF0000"/>
      </w:rPr>
      <w:t xml:space="preserve"> </w:t>
    </w:r>
    <w:proofErr w:type="spellStart"/>
    <w:r>
      <w:rPr>
        <w:color w:val="FF0000"/>
      </w:rPr>
      <w:t>contractors</w:t>
    </w:r>
    <w:proofErr w:type="spellEnd"/>
    <w:r>
      <w:rPr>
        <w:color w:val="FF0000"/>
      </w:rPr>
      <w:t xml:space="preserve">, </w:t>
    </w:r>
    <w:proofErr w:type="spellStart"/>
    <w:r>
      <w:rPr>
        <w:color w:val="FF0000"/>
      </w:rPr>
      <w:t>partner</w:t>
    </w:r>
    <w:proofErr w:type="spellEnd"/>
    <w:r>
      <w:rPr>
        <w:color w:val="FF0000"/>
      </w:rPr>
      <w:t xml:space="preserve"> </w:t>
    </w:r>
    <w:proofErr w:type="spellStart"/>
    <w:r>
      <w:rPr>
        <w:color w:val="FF0000"/>
      </w:rPr>
      <w:t>under</w:t>
    </w:r>
    <w:proofErr w:type="spellEnd"/>
    <w:r>
      <w:rPr>
        <w:color w:val="FF0000"/>
      </w:rPr>
      <w:t xml:space="preserve"> </w:t>
    </w:r>
    <w:proofErr w:type="spellStart"/>
    <w:r>
      <w:rPr>
        <w:color w:val="FF0000"/>
      </w:rPr>
      <w:t>contracts</w:t>
    </w:r>
    <w:proofErr w:type="spellEnd"/>
    <w:r>
      <w:rPr>
        <w:color w:val="FF0000"/>
      </w:rPr>
      <w:t xml:space="preserve">, and </w:t>
    </w:r>
    <w:proofErr w:type="spellStart"/>
    <w:r>
      <w:rPr>
        <w:color w:val="FF0000"/>
      </w:rPr>
      <w:t>cooperative</w:t>
    </w:r>
    <w:proofErr w:type="spellEnd"/>
    <w:r>
      <w:rPr>
        <w:color w:val="FF0000"/>
      </w:rPr>
      <w:t xml:space="preserve"> </w:t>
    </w:r>
    <w:proofErr w:type="spellStart"/>
    <w:r>
      <w:rPr>
        <w:color w:val="FF0000"/>
      </w:rPr>
      <w:t>agreements</w:t>
    </w:r>
    <w:proofErr w:type="spellEnd"/>
    <w:r>
      <w:rPr>
        <w:color w:val="FF0000"/>
      </w:rPr>
      <w:t xml:space="preserve"> and </w:t>
    </w:r>
    <w:proofErr w:type="spellStart"/>
    <w:r>
      <w:rPr>
        <w:color w:val="FF0000"/>
      </w:rPr>
      <w:t>donations</w:t>
    </w:r>
    <w:proofErr w:type="spellEnd"/>
  </w:p>
  <w:p w:rsidR="00A93A39" w:rsidRDefault="00A93A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A39" w:rsidRDefault="00A93A39" w:rsidP="00832FD3">
      <w:pPr>
        <w:spacing w:after="0" w:line="240" w:lineRule="auto"/>
      </w:pPr>
      <w:r>
        <w:separator/>
      </w:r>
    </w:p>
  </w:footnote>
  <w:footnote w:type="continuationSeparator" w:id="0">
    <w:p w:rsidR="00A93A39" w:rsidRDefault="00A93A39" w:rsidP="00832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EBD"/>
    <w:multiLevelType w:val="hybridMultilevel"/>
    <w:tmpl w:val="C2F24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17A72"/>
    <w:multiLevelType w:val="hybridMultilevel"/>
    <w:tmpl w:val="D8A2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C0767"/>
    <w:multiLevelType w:val="hybridMultilevel"/>
    <w:tmpl w:val="2C062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467BC"/>
    <w:multiLevelType w:val="hybridMultilevel"/>
    <w:tmpl w:val="EF1C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E2057"/>
    <w:multiLevelType w:val="hybridMultilevel"/>
    <w:tmpl w:val="DDFCB5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61C94"/>
    <w:multiLevelType w:val="hybridMultilevel"/>
    <w:tmpl w:val="2C90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240A3"/>
    <w:multiLevelType w:val="hybridMultilevel"/>
    <w:tmpl w:val="D55CE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A9787E"/>
    <w:multiLevelType w:val="hybridMultilevel"/>
    <w:tmpl w:val="83A6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31AF5"/>
    <w:multiLevelType w:val="hybridMultilevel"/>
    <w:tmpl w:val="B4AA5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54A88"/>
    <w:multiLevelType w:val="hybridMultilevel"/>
    <w:tmpl w:val="3318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F07C1"/>
    <w:multiLevelType w:val="hybridMultilevel"/>
    <w:tmpl w:val="C0D64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C1AF2"/>
    <w:multiLevelType w:val="hybridMultilevel"/>
    <w:tmpl w:val="D9CE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E72CD"/>
    <w:multiLevelType w:val="hybridMultilevel"/>
    <w:tmpl w:val="0900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70897"/>
    <w:multiLevelType w:val="hybridMultilevel"/>
    <w:tmpl w:val="9476E2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221DAF"/>
    <w:multiLevelType w:val="hybridMultilevel"/>
    <w:tmpl w:val="00B80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D4696"/>
    <w:multiLevelType w:val="hybridMultilevel"/>
    <w:tmpl w:val="743223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66C30"/>
    <w:multiLevelType w:val="hybridMultilevel"/>
    <w:tmpl w:val="B66CC3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5951B8"/>
    <w:multiLevelType w:val="hybridMultilevel"/>
    <w:tmpl w:val="7D4C34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E90795"/>
    <w:multiLevelType w:val="hybridMultilevel"/>
    <w:tmpl w:val="22F21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7"/>
  </w:num>
  <w:num w:numId="9">
    <w:abstractNumId w:val="16"/>
  </w:num>
  <w:num w:numId="10">
    <w:abstractNumId w:val="17"/>
  </w:num>
  <w:num w:numId="11">
    <w:abstractNumId w:val="11"/>
  </w:num>
  <w:num w:numId="12">
    <w:abstractNumId w:val="1"/>
  </w:num>
  <w:num w:numId="13">
    <w:abstractNumId w:val="12"/>
  </w:num>
  <w:num w:numId="14">
    <w:abstractNumId w:val="5"/>
  </w:num>
  <w:num w:numId="15">
    <w:abstractNumId w:val="3"/>
  </w:num>
  <w:num w:numId="16">
    <w:abstractNumId w:val="14"/>
  </w:num>
  <w:num w:numId="17">
    <w:abstractNumId w:val="2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01"/>
    <w:rsid w:val="00006F22"/>
    <w:rsid w:val="00013427"/>
    <w:rsid w:val="000360AE"/>
    <w:rsid w:val="0005044A"/>
    <w:rsid w:val="00083C31"/>
    <w:rsid w:val="00093CE2"/>
    <w:rsid w:val="000A1E41"/>
    <w:rsid w:val="000A6D88"/>
    <w:rsid w:val="000F2E07"/>
    <w:rsid w:val="0010009A"/>
    <w:rsid w:val="001636CD"/>
    <w:rsid w:val="00193090"/>
    <w:rsid w:val="001A7651"/>
    <w:rsid w:val="001C2071"/>
    <w:rsid w:val="001D7DDA"/>
    <w:rsid w:val="001E7A8A"/>
    <w:rsid w:val="0020329A"/>
    <w:rsid w:val="002434C9"/>
    <w:rsid w:val="002616D6"/>
    <w:rsid w:val="0026534B"/>
    <w:rsid w:val="002761D5"/>
    <w:rsid w:val="0028613D"/>
    <w:rsid w:val="002908A3"/>
    <w:rsid w:val="002A687F"/>
    <w:rsid w:val="003265B7"/>
    <w:rsid w:val="003316EA"/>
    <w:rsid w:val="00356909"/>
    <w:rsid w:val="003B797B"/>
    <w:rsid w:val="003C64F7"/>
    <w:rsid w:val="00430288"/>
    <w:rsid w:val="004435CF"/>
    <w:rsid w:val="00455F9D"/>
    <w:rsid w:val="00486AEB"/>
    <w:rsid w:val="00494F60"/>
    <w:rsid w:val="004A539C"/>
    <w:rsid w:val="004C0248"/>
    <w:rsid w:val="004C7530"/>
    <w:rsid w:val="004D55D1"/>
    <w:rsid w:val="004F7A9D"/>
    <w:rsid w:val="0051275B"/>
    <w:rsid w:val="00533510"/>
    <w:rsid w:val="0056203F"/>
    <w:rsid w:val="00573B71"/>
    <w:rsid w:val="00574554"/>
    <w:rsid w:val="005745E2"/>
    <w:rsid w:val="005B2C04"/>
    <w:rsid w:val="005F1529"/>
    <w:rsid w:val="0060776E"/>
    <w:rsid w:val="006100A0"/>
    <w:rsid w:val="006111B1"/>
    <w:rsid w:val="00626277"/>
    <w:rsid w:val="006612C0"/>
    <w:rsid w:val="00664158"/>
    <w:rsid w:val="00684BC9"/>
    <w:rsid w:val="006A6BEC"/>
    <w:rsid w:val="006A76DE"/>
    <w:rsid w:val="006B2009"/>
    <w:rsid w:val="006D03D5"/>
    <w:rsid w:val="00700F06"/>
    <w:rsid w:val="007242D5"/>
    <w:rsid w:val="0074728B"/>
    <w:rsid w:val="007572F8"/>
    <w:rsid w:val="007F3BF6"/>
    <w:rsid w:val="00812612"/>
    <w:rsid w:val="00830F05"/>
    <w:rsid w:val="00832FD3"/>
    <w:rsid w:val="00834640"/>
    <w:rsid w:val="00844460"/>
    <w:rsid w:val="00890050"/>
    <w:rsid w:val="008A3B93"/>
    <w:rsid w:val="008A403F"/>
    <w:rsid w:val="008C48BF"/>
    <w:rsid w:val="008C4EB1"/>
    <w:rsid w:val="008D6B34"/>
    <w:rsid w:val="008F0F7E"/>
    <w:rsid w:val="008F439E"/>
    <w:rsid w:val="00940B93"/>
    <w:rsid w:val="0096652E"/>
    <w:rsid w:val="009806A8"/>
    <w:rsid w:val="009A54BD"/>
    <w:rsid w:val="009B46D0"/>
    <w:rsid w:val="009C6F2F"/>
    <w:rsid w:val="009C75F4"/>
    <w:rsid w:val="009F69D4"/>
    <w:rsid w:val="00A015D0"/>
    <w:rsid w:val="00A01983"/>
    <w:rsid w:val="00A04F01"/>
    <w:rsid w:val="00A2587A"/>
    <w:rsid w:val="00A33B44"/>
    <w:rsid w:val="00A53BB2"/>
    <w:rsid w:val="00A7473D"/>
    <w:rsid w:val="00A93A39"/>
    <w:rsid w:val="00AB045A"/>
    <w:rsid w:val="00AB3605"/>
    <w:rsid w:val="00AB61EF"/>
    <w:rsid w:val="00B15CD5"/>
    <w:rsid w:val="00B25FAA"/>
    <w:rsid w:val="00B422B6"/>
    <w:rsid w:val="00B433AF"/>
    <w:rsid w:val="00B613D4"/>
    <w:rsid w:val="00B64098"/>
    <w:rsid w:val="00B71837"/>
    <w:rsid w:val="00B9796C"/>
    <w:rsid w:val="00BD3D44"/>
    <w:rsid w:val="00BE6FB8"/>
    <w:rsid w:val="00C02DDC"/>
    <w:rsid w:val="00C125DD"/>
    <w:rsid w:val="00C21DA4"/>
    <w:rsid w:val="00C24A5C"/>
    <w:rsid w:val="00C41557"/>
    <w:rsid w:val="00C51FC1"/>
    <w:rsid w:val="00C84A6F"/>
    <w:rsid w:val="00C97160"/>
    <w:rsid w:val="00CA0FE2"/>
    <w:rsid w:val="00CC026D"/>
    <w:rsid w:val="00CE6B01"/>
    <w:rsid w:val="00D31120"/>
    <w:rsid w:val="00D43658"/>
    <w:rsid w:val="00D510F2"/>
    <w:rsid w:val="00D7105C"/>
    <w:rsid w:val="00D768E2"/>
    <w:rsid w:val="00DB19CD"/>
    <w:rsid w:val="00DD394D"/>
    <w:rsid w:val="00E17B1F"/>
    <w:rsid w:val="00E239F7"/>
    <w:rsid w:val="00E25B97"/>
    <w:rsid w:val="00E91922"/>
    <w:rsid w:val="00E92459"/>
    <w:rsid w:val="00EA6C2C"/>
    <w:rsid w:val="00EC0D57"/>
    <w:rsid w:val="00ED0612"/>
    <w:rsid w:val="00EE319E"/>
    <w:rsid w:val="00F11013"/>
    <w:rsid w:val="00F17FC5"/>
    <w:rsid w:val="00F21ABF"/>
    <w:rsid w:val="00F239C0"/>
    <w:rsid w:val="00F3361E"/>
    <w:rsid w:val="00F336BB"/>
    <w:rsid w:val="00F44E7A"/>
    <w:rsid w:val="00F55C2E"/>
    <w:rsid w:val="00F80040"/>
    <w:rsid w:val="00F904B6"/>
    <w:rsid w:val="00F93137"/>
    <w:rsid w:val="00F94EB9"/>
    <w:rsid w:val="00FD1BF1"/>
    <w:rsid w:val="00FF4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3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F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1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F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F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FC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2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FD3"/>
  </w:style>
  <w:style w:type="paragraph" w:styleId="Footer">
    <w:name w:val="footer"/>
    <w:basedOn w:val="Normal"/>
    <w:link w:val="FooterChar"/>
    <w:uiPriority w:val="99"/>
    <w:unhideWhenUsed/>
    <w:rsid w:val="00832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3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F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1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F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F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FC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2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FD3"/>
  </w:style>
  <w:style w:type="paragraph" w:styleId="Footer">
    <w:name w:val="footer"/>
    <w:basedOn w:val="Normal"/>
    <w:link w:val="FooterChar"/>
    <w:uiPriority w:val="99"/>
    <w:unhideWhenUsed/>
    <w:rsid w:val="00832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857C8E6</Template>
  <TotalTime>252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USAID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ELIZABETH T0RRES</dc:creator>
  <cp:lastModifiedBy>Torres, Joe (San Salvador/EG)</cp:lastModifiedBy>
  <cp:revision>6</cp:revision>
  <cp:lastPrinted>2015-07-14T20:55:00Z</cp:lastPrinted>
  <dcterms:created xsi:type="dcterms:W3CDTF">2015-11-09T15:50:00Z</dcterms:created>
  <dcterms:modified xsi:type="dcterms:W3CDTF">2016-02-17T16:57:00Z</dcterms:modified>
</cp:coreProperties>
</file>